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rPr>
      </w:pPr>
      <w:r>
        <w:rPr>
          <w:b w:val="1"/>
          <w:bCs w:val="1"/>
          <w:rtl w:val="0"/>
          <w:lang w:val="en-US"/>
        </w:rPr>
        <w:t>TMA TexMed 2018 MSS Resolution Summary</w:t>
      </w:r>
    </w:p>
    <w:p>
      <w:pPr>
        <w:pStyle w:val="Body"/>
        <w:rPr>
          <w:b w:val="1"/>
          <w:bCs w:val="1"/>
        </w:rPr>
      </w:pPr>
    </w:p>
    <w:p>
      <w:pPr>
        <w:pStyle w:val="Body"/>
      </w:pPr>
      <w:r>
        <w:rPr>
          <w:rtl w:val="0"/>
        </w:rPr>
        <w:t>Hello TMA members,</w:t>
      </w:r>
    </w:p>
    <w:p>
      <w:pPr>
        <w:pStyle w:val="Body"/>
      </w:pPr>
    </w:p>
    <w:p>
      <w:pPr>
        <w:pStyle w:val="Body"/>
      </w:pPr>
      <w:r>
        <w:rPr>
          <w:rtl w:val="0"/>
        </w:rPr>
        <w:t>We hope everyone is doing well!</w:t>
      </w:r>
    </w:p>
    <w:p>
      <w:pPr>
        <w:pStyle w:val="Body"/>
      </w:pPr>
    </w:p>
    <w:p>
      <w:pPr>
        <w:pStyle w:val="Body"/>
      </w:pPr>
      <w:r>
        <w:rPr>
          <w:rtl w:val="0"/>
        </w:rPr>
        <w:t>We are Pruthali, MS3 at UNTHSC, and Alice, MS4 at UT Southwestern, and your TMA Delegate Co-</w:t>
      </w:r>
      <w:r>
        <w:rPr>
          <w:rtl w:val="0"/>
        </w:rPr>
        <w:t>Chairs</w:t>
      </w:r>
      <w:r>
        <w:rPr>
          <w:rtl w:val="0"/>
        </w:rPr>
        <w:t xml:space="preserve"> for this year! We are excited to be working with you all.</w:t>
      </w:r>
    </w:p>
    <w:p>
      <w:pPr>
        <w:pStyle w:val="Body"/>
      </w:pPr>
    </w:p>
    <w:p>
      <w:pPr>
        <w:pStyle w:val="Body"/>
      </w:pPr>
      <w:r>
        <w:rPr>
          <w:rtl w:val="0"/>
        </w:rPr>
        <w:t xml:space="preserve">We would like to give a brief summary about the 2018 TMA-MSS resolutions and welcome anyone who is interested in writing a new resolution this year to reach out to us. </w:t>
      </w:r>
    </w:p>
    <w:p>
      <w:pPr>
        <w:pStyle w:val="Body"/>
      </w:pPr>
    </w:p>
    <w:p>
      <w:pPr>
        <w:pStyle w:val="Body"/>
      </w:pPr>
      <w:r>
        <w:rPr>
          <w:rtl w:val="0"/>
        </w:rPr>
        <w:t>Do not fear if you have no idea what a resolution is or want to write a resolution for the first time! We will explain resolution writing in more detail at the TMA Winter Conference, but please feel free to contact us before then if you would like a head start.</w:t>
      </w:r>
    </w:p>
    <w:p>
      <w:pPr>
        <w:pStyle w:val="Body"/>
      </w:pPr>
    </w:p>
    <w:p>
      <w:pPr>
        <w:pStyle w:val="Body"/>
      </w:pPr>
      <w:r>
        <w:rPr>
          <w:rtl w:val="0"/>
        </w:rPr>
        <w:t>Thank you so much,</w:t>
      </w:r>
    </w:p>
    <w:p>
      <w:pPr>
        <w:pStyle w:val="Body"/>
      </w:pPr>
      <w:r>
        <w:rPr>
          <w:rtl w:val="0"/>
        </w:rPr>
        <w:t>Pruthali Kulkarni (Pruthali.Kulkarni@my.unthsc.edu)</w:t>
      </w:r>
    </w:p>
    <w:p>
      <w:pPr>
        <w:pStyle w:val="Body"/>
      </w:pPr>
      <w:r>
        <w:rPr>
          <w:rtl w:val="0"/>
        </w:rPr>
        <w:t>Alice Jean (Alice.Jean@UTSouthwestern.edu)</w:t>
      </w:r>
    </w:p>
    <w:p>
      <w:pPr>
        <w:pStyle w:val="Body"/>
        <w:rPr>
          <w:b w:val="1"/>
          <w:bCs w:val="1"/>
        </w:rPr>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0"/>
        <w:gridCol w:w="4680"/>
      </w:tblGrid>
      <w:tr>
        <w:tblPrEx>
          <w:shd w:val="clear" w:color="auto" w:fill="ced7e7"/>
        </w:tblPrEx>
        <w:trPr>
          <w:trHeight w:val="23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b w:val="1"/>
                <w:bCs w:val="1"/>
                <w:sz w:val="20"/>
                <w:szCs w:val="20"/>
                <w:u w:val="single"/>
                <w:rtl w:val="0"/>
                <w:lang w:val="en-US"/>
              </w:rPr>
              <w:t>Resolution Title</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b w:val="1"/>
                <w:bCs w:val="1"/>
                <w:sz w:val="20"/>
                <w:szCs w:val="20"/>
                <w:u w:val="single"/>
                <w:rtl w:val="0"/>
                <w:lang w:val="en-US"/>
              </w:rPr>
              <w:t>Result</w:t>
            </w:r>
          </w:p>
        </w:tc>
      </w:tr>
      <w:tr>
        <w:tblPrEx>
          <w:shd w:val="clear" w:color="auto" w:fill="ced7e7"/>
        </w:tblPrEx>
        <w:trPr>
          <w:trHeight w:val="26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sz w:val="20"/>
                <w:szCs w:val="20"/>
                <w:rtl w:val="0"/>
                <w:lang w:val="en-US"/>
              </w:rPr>
              <w:t>Inclusion of Medical Students in Good Samaritan Laws and Policies for Disaster Settings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0"/>
                <w:szCs w:val="20"/>
                <w:rtl w:val="0"/>
                <w:lang w:val="en-US"/>
              </w:rPr>
              <w:t>Adopted as amended: Resolution that the Texas Medical Association: (1) support medical students volunteering inside of their institutional affiliations during times of disaster and emergency, due to both the need for and the competency of medical students, as demonstrated by previous research and disaster situations; and (2) study the involvement of medical students in natural disaster and emergency situations in order to develop TMA policy regarding medical student roles in disaster situations.</w:t>
            </w:r>
          </w:p>
        </w:tc>
      </w:tr>
      <w:tr>
        <w:tblPrEx>
          <w:shd w:val="clear" w:color="auto" w:fill="ced7e7"/>
        </w:tblPrEx>
        <w:trPr>
          <w:trHeight w:val="8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0"/>
                <w:szCs w:val="20"/>
                <w:rtl w:val="0"/>
                <w:lang w:val="en-US"/>
              </w:rPr>
              <w:t>Incorporating High-Value Care into Undergraduate and Graduate Medical Education in Texas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0"/>
                <w:szCs w:val="20"/>
                <w:rtl w:val="0"/>
                <w:lang w:val="en-US"/>
              </w:rPr>
              <w:t>Adopted as amended: Resolution that the Texas Medical Association support the inclusion and integration of topics of health care value in medical education.</w:t>
            </w:r>
          </w:p>
        </w:tc>
      </w:tr>
      <w:tr>
        <w:tblPrEx>
          <w:shd w:val="clear" w:color="auto" w:fill="ced7e7"/>
        </w:tblPrEx>
        <w:trPr>
          <w:trHeight w:val="485"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sz w:val="20"/>
                <w:szCs w:val="20"/>
                <w:rtl w:val="0"/>
                <w:lang w:val="en-US"/>
              </w:rPr>
              <w:t>Addressing Gender Bias in Undergraduate Medical Education with Implicit Bias Training</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00"/>
            <w:tcMar>
              <w:top w:type="dxa" w:w="80"/>
              <w:left w:type="dxa" w:w="80"/>
              <w:bottom w:type="dxa" w:w="80"/>
              <w:right w:type="dxa" w:w="80"/>
            </w:tcMar>
            <w:vAlign w:val="top"/>
          </w:tcPr>
          <w:p>
            <w:pPr>
              <w:pStyle w:val="Body"/>
              <w:widowControl w:val="0"/>
              <w:spacing w:line="240" w:lineRule="auto"/>
            </w:pPr>
            <w:r>
              <w:rPr>
                <w:sz w:val="20"/>
                <w:szCs w:val="20"/>
                <w:rtl w:val="0"/>
                <w:lang w:val="en-US"/>
              </w:rPr>
              <w:t>Referred</w:t>
            </w:r>
          </w:p>
        </w:tc>
      </w:tr>
      <w:tr>
        <w:tblPrEx>
          <w:shd w:val="clear" w:color="auto" w:fill="ced7e7"/>
        </w:tblPrEx>
        <w:trPr>
          <w:trHeight w:val="19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sz w:val="20"/>
                <w:szCs w:val="20"/>
                <w:rtl w:val="0"/>
                <w:lang w:val="en-US"/>
              </w:rPr>
              <w:t>Synthetic Cannabis Educational Resources for Providers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0"/>
                <w:szCs w:val="20"/>
                <w:rtl w:val="0"/>
                <w:lang w:val="en-US"/>
              </w:rPr>
              <w:t>Adopted as amended, as follows: Resolution that the Texas Medical Association: (1) advocate for research on the prevalence, effects, and implications of synthetic cannabinoid use; and (2) encourage the development and circulation of evidence-based educational materials on synthetic cannabinoids for physicians to share with patients.</w:t>
            </w:r>
          </w:p>
        </w:tc>
      </w:tr>
      <w:tr>
        <w:tblPrEx>
          <w:shd w:val="clear" w:color="auto" w:fill="ced7e7"/>
        </w:tblPrEx>
        <w:trPr>
          <w:trHeight w:val="4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0"/>
                <w:szCs w:val="20"/>
                <w:rtl w:val="0"/>
                <w:lang w:val="en-US"/>
              </w:rPr>
              <w:t>Improving the LGBTQI + Patient Health Care Experience</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pPr>
            <w:r>
              <w:rPr>
                <w:sz w:val="20"/>
                <w:szCs w:val="20"/>
                <w:rtl w:val="0"/>
                <w:lang w:val="en-US"/>
              </w:rPr>
              <w:t>Not adopted</w:t>
            </w:r>
          </w:p>
        </w:tc>
      </w:tr>
      <w:tr>
        <w:tblPrEx>
          <w:shd w:val="clear" w:color="auto" w:fill="ced7e7"/>
        </w:tblPrEx>
        <w:trPr>
          <w:trHeight w:val="23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sz w:val="20"/>
                <w:szCs w:val="20"/>
                <w:rtl w:val="0"/>
                <w:lang w:val="en-US"/>
              </w:rPr>
              <w:t>Addressing Food Deserts in Texas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pPr>
            <w:r>
              <w:rPr>
                <w:sz w:val="20"/>
                <w:szCs w:val="20"/>
                <w:rtl w:val="0"/>
                <w:lang w:val="en-US"/>
              </w:rPr>
              <w:t>Not adopted</w:t>
            </w:r>
          </w:p>
        </w:tc>
      </w:tr>
      <w:tr>
        <w:tblPrEx>
          <w:shd w:val="clear" w:color="auto" w:fill="ced7e7"/>
        </w:tblPrEx>
        <w:trPr>
          <w:trHeight w:val="485"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sz w:val="20"/>
                <w:szCs w:val="20"/>
                <w:rtl w:val="0"/>
                <w:lang w:val="en-US"/>
              </w:rPr>
              <w:t xml:space="preserve">Addressing H.B. No. 3859 </w:t>
            </w:r>
            <w:r>
              <w:rPr>
                <w:sz w:val="20"/>
                <w:szCs w:val="20"/>
                <w:rtl w:val="0"/>
                <w:lang w:val="en-US"/>
              </w:rPr>
              <w:t xml:space="preserve">– </w:t>
            </w:r>
            <w:r>
              <w:rPr>
                <w:sz w:val="20"/>
                <w:szCs w:val="20"/>
                <w:rtl w:val="0"/>
                <w:lang w:val="en-US"/>
              </w:rPr>
              <w:t>A Misstep in the Protection of Foster Care Children</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00"/>
            <w:tcMar>
              <w:top w:type="dxa" w:w="80"/>
              <w:left w:type="dxa" w:w="80"/>
              <w:bottom w:type="dxa" w:w="80"/>
              <w:right w:type="dxa" w:w="80"/>
            </w:tcMar>
            <w:vAlign w:val="top"/>
          </w:tcPr>
          <w:p>
            <w:pPr>
              <w:pStyle w:val="Body"/>
              <w:widowControl w:val="0"/>
              <w:spacing w:line="240" w:lineRule="auto"/>
            </w:pPr>
            <w:r>
              <w:rPr>
                <w:sz w:val="20"/>
                <w:szCs w:val="20"/>
                <w:rtl w:val="0"/>
                <w:lang w:val="en-US"/>
              </w:rPr>
              <w:t>Referred</w:t>
            </w:r>
          </w:p>
        </w:tc>
      </w:tr>
      <w:tr>
        <w:tblPrEx>
          <w:shd w:val="clear" w:color="auto" w:fill="ced7e7"/>
        </w:tblPrEx>
        <w:trPr>
          <w:trHeight w:val="15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sz w:val="20"/>
                <w:szCs w:val="20"/>
                <w:rtl w:val="0"/>
                <w:lang w:val="en-US"/>
              </w:rPr>
              <w:t>Texas Prescription Drug Monitoring Program Data Integration into Electronic Health Record Technology</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0"/>
                <w:szCs w:val="20"/>
                <w:rtl w:val="0"/>
                <w:lang w:val="en-US"/>
              </w:rPr>
              <w:t>Adopted as amended: Resolution that the Texas Medical Association advocate for integration of real-time prescription drug monitoring program data into Texas electronic health record systems and electronic prescribing systems should be at no cost to the physician.</w:t>
            </w:r>
          </w:p>
        </w:tc>
      </w:tr>
      <w:tr>
        <w:tblPrEx>
          <w:shd w:val="clear" w:color="auto" w:fill="ced7e7"/>
        </w:tblPrEx>
        <w:trPr>
          <w:trHeight w:val="4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0"/>
                <w:szCs w:val="20"/>
                <w:rtl w:val="0"/>
                <w:lang w:val="en-US"/>
              </w:rPr>
              <w:t>Implementing Blood Glucose Screening in Texas Schools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pPr>
            <w:r>
              <w:rPr>
                <w:sz w:val="20"/>
                <w:szCs w:val="20"/>
                <w:rtl w:val="0"/>
                <w:lang w:val="en-US"/>
              </w:rPr>
              <w:t>Not adopted</w:t>
            </w:r>
          </w:p>
        </w:tc>
      </w:tr>
      <w:tr>
        <w:tblPrEx>
          <w:shd w:val="clear" w:color="auto" w:fill="ced7e7"/>
        </w:tblPrEx>
        <w:trPr>
          <w:trHeight w:val="8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sz w:val="20"/>
                <w:szCs w:val="20"/>
                <w:rtl w:val="0"/>
                <w:lang w:val="en-US"/>
              </w:rPr>
              <w:t>Community Health Workers and HPV Vaccination</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pPr>
            <w:r>
              <w:rPr>
                <w:sz w:val="20"/>
                <w:szCs w:val="20"/>
                <w:rtl w:val="0"/>
                <w:lang w:val="en-US"/>
              </w:rPr>
              <w:t>Not adopted but phrase was added to the Council on Science and Public Health</w:t>
            </w:r>
            <w:r>
              <w:rPr>
                <w:sz w:val="20"/>
                <w:szCs w:val="20"/>
                <w:rtl w:val="0"/>
                <w:lang w:val="en-US"/>
              </w:rPr>
              <w:t>’</w:t>
            </w:r>
            <w:r>
              <w:rPr>
                <w:sz w:val="20"/>
                <w:szCs w:val="20"/>
                <w:rtl w:val="0"/>
                <w:lang w:val="en-US"/>
              </w:rPr>
              <w:t>s Report 6 to include community health workers in HPV management</w:t>
            </w:r>
          </w:p>
        </w:tc>
      </w:tr>
      <w:tr>
        <w:tblPrEx>
          <w:shd w:val="clear" w:color="auto" w:fill="ced7e7"/>
        </w:tblPrEx>
        <w:trPr>
          <w:trHeight w:val="485"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sz w:val="20"/>
                <w:szCs w:val="20"/>
                <w:rtl w:val="0"/>
                <w:lang w:val="en-US"/>
              </w:rPr>
              <w:t>Encouraging Unstructured Playtime in School</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0"/>
                <w:szCs w:val="20"/>
                <w:rtl w:val="0"/>
                <w:lang w:val="en-US"/>
              </w:rPr>
              <w:t>Adopted</w:t>
            </w:r>
          </w:p>
        </w:tc>
      </w:tr>
      <w:tr>
        <w:tblPrEx>
          <w:shd w:val="clear" w:color="auto" w:fill="ced7e7"/>
        </w:tblPrEx>
        <w:trPr>
          <w:trHeight w:val="485"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sz w:val="20"/>
                <w:szCs w:val="20"/>
                <w:rtl w:val="0"/>
                <w:lang w:val="en-US"/>
              </w:rPr>
              <w:t>Opposition to Pain Score as Contributor to Hospital Financial Incentives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0"/>
                <w:szCs w:val="20"/>
                <w:rtl w:val="0"/>
                <w:lang w:val="en-US"/>
              </w:rPr>
              <w:t>Adopted</w:t>
            </w:r>
          </w:p>
        </w:tc>
      </w:tr>
    </w:tbl>
    <w:p>
      <w:pPr>
        <w:pStyle w:val="Body"/>
        <w:widowControl w:val="0"/>
        <w:spacing w:line="240" w:lineRule="auto"/>
        <w:ind w:left="936" w:hanging="936"/>
        <w:rPr>
          <w:b w:val="1"/>
          <w:bCs w:val="1"/>
        </w:rPr>
      </w:pPr>
    </w:p>
    <w:p>
      <w:pPr>
        <w:pStyle w:val="Body"/>
      </w:pPr>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