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20" w:rsidRPr="00EC7699" w:rsidRDefault="00FA0A20" w:rsidP="00FA0A20">
      <w:pPr>
        <w:jc w:val="center"/>
        <w:rPr>
          <w:b/>
          <w:sz w:val="28"/>
          <w:szCs w:val="28"/>
        </w:rPr>
      </w:pPr>
      <w:r w:rsidRPr="00EC7699">
        <w:rPr>
          <w:b/>
          <w:sz w:val="28"/>
          <w:szCs w:val="28"/>
        </w:rPr>
        <w:t xml:space="preserve">Texas Medical Association </w:t>
      </w:r>
    </w:p>
    <w:p w:rsidR="00FA0A20" w:rsidRPr="00FA0A20" w:rsidRDefault="00FA0A20" w:rsidP="00FA0A20">
      <w:pPr>
        <w:jc w:val="center"/>
        <w:rPr>
          <w:b/>
          <w:sz w:val="28"/>
          <w:szCs w:val="28"/>
        </w:rPr>
      </w:pPr>
      <w:r w:rsidRPr="00EC7699">
        <w:rPr>
          <w:b/>
          <w:sz w:val="28"/>
          <w:szCs w:val="28"/>
        </w:rPr>
        <w:t>Physician Services Organization</w:t>
      </w:r>
    </w:p>
    <w:p w:rsidR="00FA0A20" w:rsidRDefault="00FA0A20" w:rsidP="00A316EA">
      <w:pPr>
        <w:jc w:val="center"/>
        <w:rPr>
          <w:b/>
        </w:rPr>
      </w:pPr>
    </w:p>
    <w:p w:rsidR="008D04A8" w:rsidRDefault="00FA0A20" w:rsidP="00A316EA">
      <w:pPr>
        <w:jc w:val="center"/>
        <w:rPr>
          <w:b/>
        </w:rPr>
      </w:pPr>
      <w:r>
        <w:rPr>
          <w:b/>
        </w:rPr>
        <w:t>EHR RFP Submitted Q&amp;A</w:t>
      </w:r>
    </w:p>
    <w:p w:rsidR="00A316EA" w:rsidRPr="00A316EA" w:rsidRDefault="00A316EA" w:rsidP="00A316EA">
      <w:pPr>
        <w:jc w:val="center"/>
        <w:rPr>
          <w:b/>
        </w:rPr>
      </w:pPr>
      <w:r>
        <w:rPr>
          <w:b/>
        </w:rPr>
        <w:t>January 28, 2014</w:t>
      </w:r>
    </w:p>
    <w:p w:rsidR="008D04A8" w:rsidRDefault="008D04A8" w:rsidP="00813B83"/>
    <w:p w:rsidR="00090125" w:rsidRPr="00090125" w:rsidRDefault="00090125" w:rsidP="00813B83">
      <w:pPr>
        <w:rPr>
          <w:b/>
        </w:rPr>
      </w:pPr>
      <w:r w:rsidRPr="00090125">
        <w:rPr>
          <w:b/>
        </w:rPr>
        <w:t>Introductory Comments</w:t>
      </w:r>
    </w:p>
    <w:p w:rsidR="008D04A8" w:rsidRDefault="00090125" w:rsidP="00017830">
      <w:pPr>
        <w:pStyle w:val="ListParagraph"/>
        <w:numPr>
          <w:ilvl w:val="0"/>
          <w:numId w:val="16"/>
        </w:numPr>
        <w:ind w:left="450" w:hanging="450"/>
      </w:pPr>
      <w:r>
        <w:t>The</w:t>
      </w:r>
      <w:r w:rsidR="008D04A8">
        <w:t xml:space="preserve"> </w:t>
      </w:r>
      <w:r>
        <w:t xml:space="preserve">February 5, 2014 </w:t>
      </w:r>
      <w:r w:rsidR="008D04A8">
        <w:t>due date</w:t>
      </w:r>
      <w:r>
        <w:t xml:space="preserve"> of the RFP will not be extended. </w:t>
      </w:r>
    </w:p>
    <w:p w:rsidR="00090125" w:rsidRDefault="00090125" w:rsidP="00017830">
      <w:pPr>
        <w:pStyle w:val="ListParagraph"/>
        <w:numPr>
          <w:ilvl w:val="0"/>
          <w:numId w:val="16"/>
        </w:numPr>
        <w:ind w:left="450" w:hanging="450"/>
      </w:pPr>
      <w:r>
        <w:t xml:space="preserve">TMA’s ad hoc Committee on HIT will review the responses. TMA may request follow-up details around late February to mid-March. </w:t>
      </w:r>
    </w:p>
    <w:p w:rsidR="008D04A8" w:rsidRDefault="008D04A8" w:rsidP="00813B83"/>
    <w:p w:rsidR="00090125" w:rsidRDefault="00B07454" w:rsidP="00813B83">
      <w:r w:rsidRPr="00B07454">
        <w:rPr>
          <w:b/>
        </w:rPr>
        <w:t>Question:</w:t>
      </w:r>
      <w:r>
        <w:t xml:space="preserve"> </w:t>
      </w:r>
      <w:r w:rsidR="00090125">
        <w:t xml:space="preserve">Will questions sent </w:t>
      </w:r>
      <w:r w:rsidR="005330BB">
        <w:t>via email be part of the question and answer posting</w:t>
      </w:r>
      <w:r w:rsidR="00FA0A20">
        <w:t>?</w:t>
      </w:r>
      <w:r w:rsidR="005330BB">
        <w:t xml:space="preserve">  </w:t>
      </w:r>
    </w:p>
    <w:p w:rsidR="00A465C0" w:rsidRPr="00F348A3" w:rsidRDefault="00B07454" w:rsidP="00A465C0">
      <w:r w:rsidRPr="00F348A3">
        <w:rPr>
          <w:b/>
        </w:rPr>
        <w:t xml:space="preserve">Answer: </w:t>
      </w:r>
      <w:r w:rsidR="00A465C0" w:rsidRPr="00F348A3">
        <w:t xml:space="preserve">Yes. </w:t>
      </w:r>
      <w:r w:rsidR="008D04A8" w:rsidRPr="00F348A3">
        <w:t xml:space="preserve">Questions </w:t>
      </w:r>
      <w:r w:rsidR="00017830">
        <w:t>received prior to January 28, 2014 will be included in the Q&amp;</w:t>
      </w:r>
      <w:r w:rsidR="008D04A8" w:rsidRPr="00F348A3">
        <w:t>A posting.</w:t>
      </w:r>
    </w:p>
    <w:p w:rsidR="00A316EA" w:rsidRPr="00F348A3" w:rsidRDefault="00A316EA" w:rsidP="00A465C0"/>
    <w:p w:rsidR="008D04A8" w:rsidRDefault="00B07454" w:rsidP="00A465C0">
      <w:r>
        <w:rPr>
          <w:b/>
        </w:rPr>
        <w:t>Question:</w:t>
      </w:r>
      <w:r w:rsidR="00A465C0">
        <w:t xml:space="preserve"> W</w:t>
      </w:r>
      <w:r w:rsidR="008D04A8">
        <w:t xml:space="preserve">hat is the </w:t>
      </w:r>
      <w:r>
        <w:t xml:space="preserve">project implementation timeline?  </w:t>
      </w:r>
    </w:p>
    <w:p w:rsidR="008D04A8" w:rsidRDefault="00B07454" w:rsidP="00A465C0">
      <w:r>
        <w:rPr>
          <w:b/>
        </w:rPr>
        <w:t>Answer:</w:t>
      </w:r>
      <w:r w:rsidR="00A465C0">
        <w:t xml:space="preserve"> </w:t>
      </w:r>
      <w:r w:rsidR="00E9223C">
        <w:t xml:space="preserve">The purpose of the project is to define </w:t>
      </w:r>
      <w:r w:rsidR="00017830">
        <w:t xml:space="preserve">two to three </w:t>
      </w:r>
      <w:r w:rsidR="00E9223C">
        <w:t>preferred EHR vendors to work with and focus closely on interoperability and performance standards</w:t>
      </w:r>
      <w:r w:rsidR="00017830">
        <w:t xml:space="preserve">, and as an integral part of the PSO. </w:t>
      </w:r>
    </w:p>
    <w:p w:rsidR="008D04A8" w:rsidRDefault="008D04A8" w:rsidP="008D04A8">
      <w:pPr>
        <w:pStyle w:val="ListParagraph"/>
        <w:ind w:left="1080"/>
      </w:pPr>
    </w:p>
    <w:p w:rsidR="008D04A8" w:rsidRDefault="00B07454" w:rsidP="00813B83">
      <w:r>
        <w:rPr>
          <w:b/>
        </w:rPr>
        <w:t>Question:</w:t>
      </w:r>
      <w:r w:rsidR="008D04A8">
        <w:t xml:space="preserve"> Regarding pricing</w:t>
      </w:r>
      <w:r w:rsidR="008079B2">
        <w:t xml:space="preserve">, should we </w:t>
      </w:r>
      <w:r w:rsidR="008D04A8">
        <w:t xml:space="preserve">follow the same pricing as the EHR </w:t>
      </w:r>
      <w:r w:rsidR="008079B2">
        <w:t xml:space="preserve">comparison tool as far as </w:t>
      </w:r>
      <w:r w:rsidR="00FA0A20">
        <w:t>the practice sizes of solo, two-</w:t>
      </w:r>
      <w:r w:rsidR="008079B2">
        <w:t>physician</w:t>
      </w:r>
      <w:r w:rsidR="00FA0A20">
        <w:t>, and ten-</w:t>
      </w:r>
      <w:r w:rsidR="008079B2">
        <w:t xml:space="preserve">physician practices?  </w:t>
      </w:r>
    </w:p>
    <w:p w:rsidR="008079B2" w:rsidRDefault="00B07454" w:rsidP="00813B83">
      <w:r>
        <w:rPr>
          <w:b/>
        </w:rPr>
        <w:t xml:space="preserve">Answer: </w:t>
      </w:r>
      <w:r w:rsidR="008079B2">
        <w:t>Yes</w:t>
      </w:r>
      <w:r w:rsidR="008D04A8">
        <w:t xml:space="preserve">. </w:t>
      </w:r>
    </w:p>
    <w:p w:rsidR="008D04A8" w:rsidRDefault="008D04A8" w:rsidP="00813B83">
      <w:r>
        <w:t xml:space="preserve"> </w:t>
      </w:r>
      <w:r w:rsidR="00B63760">
        <w:t xml:space="preserve"> </w:t>
      </w:r>
    </w:p>
    <w:p w:rsidR="00B63760" w:rsidRDefault="00B07454" w:rsidP="00813B83">
      <w:r>
        <w:rPr>
          <w:b/>
        </w:rPr>
        <w:t>Question:</w:t>
      </w:r>
      <w:r w:rsidR="00B63760">
        <w:t xml:space="preserve"> Can </w:t>
      </w:r>
      <w:r w:rsidR="008079B2">
        <w:t xml:space="preserve">you </w:t>
      </w:r>
      <w:r w:rsidR="00017830">
        <w:t>provide</w:t>
      </w:r>
      <w:r w:rsidR="008079B2">
        <w:t xml:space="preserve"> </w:t>
      </w:r>
      <w:r w:rsidR="00B63760">
        <w:t xml:space="preserve">more detail on the business </w:t>
      </w:r>
      <w:r w:rsidR="008079B2">
        <w:t xml:space="preserve">partnership arrangement or </w:t>
      </w:r>
      <w:r w:rsidR="00B63760">
        <w:t>structure</w:t>
      </w:r>
      <w:r w:rsidR="008079B2">
        <w:t>?</w:t>
      </w:r>
      <w:r w:rsidR="00B63760">
        <w:t xml:space="preserve"> </w:t>
      </w:r>
      <w:r w:rsidR="007D7A59">
        <w:t xml:space="preserve"> </w:t>
      </w:r>
      <w:r w:rsidR="00017830">
        <w:t>For example, w</w:t>
      </w:r>
      <w:r w:rsidR="007D7A59">
        <w:t xml:space="preserve">ill TMA be a reseller of EHRs? </w:t>
      </w:r>
    </w:p>
    <w:p w:rsidR="001E492F" w:rsidRDefault="00B07454" w:rsidP="00813B83">
      <w:r>
        <w:rPr>
          <w:b/>
        </w:rPr>
        <w:t>Answer:</w:t>
      </w:r>
      <w:r w:rsidR="00B63760">
        <w:t xml:space="preserve"> </w:t>
      </w:r>
      <w:r w:rsidR="001E492F">
        <w:t xml:space="preserve">It would be appropriate to answer the RFP questions with various ideas and options, including a reseller </w:t>
      </w:r>
      <w:r w:rsidR="00017830">
        <w:t>model</w:t>
      </w:r>
      <w:r w:rsidR="001E492F">
        <w:t xml:space="preserve">, as TMA is considering different approaches and seeks proposals. In addition to TMA members, it is possible that this type of partnership could be open to other medical societies across the nation. The eventual reach of the PSO will beyond Texas. </w:t>
      </w:r>
    </w:p>
    <w:p w:rsidR="00B63760" w:rsidRDefault="00B63760" w:rsidP="00813B83"/>
    <w:p w:rsidR="000419F5" w:rsidRDefault="00B07454" w:rsidP="00813B83">
      <w:r>
        <w:rPr>
          <w:b/>
        </w:rPr>
        <w:t>Question:</w:t>
      </w:r>
      <w:r w:rsidR="000419F5">
        <w:t xml:space="preserve">  </w:t>
      </w:r>
      <w:r w:rsidR="00017830">
        <w:t>What is the total TMA membership</w:t>
      </w:r>
      <w:r w:rsidR="00B63760">
        <w:t xml:space="preserve">?  </w:t>
      </w:r>
    </w:p>
    <w:p w:rsidR="00B63760" w:rsidRDefault="00B07454" w:rsidP="00813B83">
      <w:r>
        <w:rPr>
          <w:b/>
        </w:rPr>
        <w:t>Answer:</w:t>
      </w:r>
      <w:r w:rsidR="000419F5">
        <w:t xml:space="preserve">   There are more than </w:t>
      </w:r>
      <w:r w:rsidR="00B63760">
        <w:t>4</w:t>
      </w:r>
      <w:r w:rsidR="00984858">
        <w:t>8</w:t>
      </w:r>
      <w:r w:rsidR="00B63760">
        <w:t>,000</w:t>
      </w:r>
      <w:r w:rsidR="000419F5">
        <w:t xml:space="preserve"> members</w:t>
      </w:r>
      <w:r w:rsidR="00FA0A20">
        <w:t>.</w:t>
      </w:r>
    </w:p>
    <w:p w:rsidR="00B63760" w:rsidRDefault="00B63760" w:rsidP="00813B83"/>
    <w:p w:rsidR="007D38F7" w:rsidRDefault="007D38F7" w:rsidP="007D38F7">
      <w:r w:rsidRPr="006567D1">
        <w:rPr>
          <w:b/>
        </w:rPr>
        <w:t>Question:</w:t>
      </w:r>
      <w:r>
        <w:t xml:space="preserve"> What specialties does TMA cover? </w:t>
      </w:r>
    </w:p>
    <w:p w:rsidR="007D38F7" w:rsidRDefault="007D38F7" w:rsidP="007D38F7">
      <w:r w:rsidRPr="006567D1">
        <w:rPr>
          <w:b/>
        </w:rPr>
        <w:t>Answer:</w:t>
      </w:r>
      <w:r>
        <w:t xml:space="preserve"> TMA members include all specialties. </w:t>
      </w:r>
    </w:p>
    <w:p w:rsidR="007D38F7" w:rsidRDefault="007D38F7" w:rsidP="007D38F7"/>
    <w:p w:rsidR="007D38F7" w:rsidRDefault="007D38F7" w:rsidP="007D38F7">
      <w:r w:rsidRPr="00F55CDF">
        <w:rPr>
          <w:b/>
        </w:rPr>
        <w:t>Question:</w:t>
      </w:r>
      <w:r>
        <w:t xml:space="preserve">  What are the EHR adoption rates across Texas?  </w:t>
      </w:r>
    </w:p>
    <w:p w:rsidR="007D38F7" w:rsidRDefault="007D38F7" w:rsidP="007D38F7">
      <w:r w:rsidRPr="006F6F7B">
        <w:rPr>
          <w:b/>
        </w:rPr>
        <w:t>Answer:</w:t>
      </w:r>
      <w:r>
        <w:t xml:space="preserve"> According to the 2012 TMA Survey, EHR adoption rates in Texas are at 60 percent. The survey further indicated that another 20 percent intend to adopt over the next two years. </w:t>
      </w:r>
    </w:p>
    <w:p w:rsidR="007D38F7" w:rsidRDefault="007D38F7" w:rsidP="007D38F7">
      <w:r>
        <w:t xml:space="preserve">If the projections are correct, it is estimated that 80 percent of Texas physicians will use an EHR by the end of 2014.   </w:t>
      </w:r>
      <w:hyperlink r:id="rId5" w:history="1">
        <w:r w:rsidRPr="00177058">
          <w:rPr>
            <w:rStyle w:val="Hyperlink"/>
          </w:rPr>
          <w:t>2012 Survey Flyer</w:t>
        </w:r>
      </w:hyperlink>
      <w:r>
        <w:t xml:space="preserve">.  </w:t>
      </w:r>
      <w:hyperlink r:id="rId6" w:history="1">
        <w:r w:rsidRPr="00177058">
          <w:rPr>
            <w:rStyle w:val="Hyperlink"/>
          </w:rPr>
          <w:t>2012 Survey Results</w:t>
        </w:r>
      </w:hyperlink>
      <w:r>
        <w:t xml:space="preserve">.  </w:t>
      </w:r>
    </w:p>
    <w:p w:rsidR="007D38F7" w:rsidRDefault="007D38F7" w:rsidP="007D38F7"/>
    <w:p w:rsidR="00B63760" w:rsidRDefault="00B07454" w:rsidP="00813B83">
      <w:r>
        <w:rPr>
          <w:b/>
        </w:rPr>
        <w:t>Question:</w:t>
      </w:r>
      <w:r w:rsidR="000419F5">
        <w:t xml:space="preserve"> </w:t>
      </w:r>
      <w:r w:rsidR="007D7A59">
        <w:t xml:space="preserve">How will </w:t>
      </w:r>
      <w:r w:rsidR="00F55CDF">
        <w:t xml:space="preserve">sales and </w:t>
      </w:r>
      <w:r w:rsidR="007D7A59">
        <w:t>marketing be approached?</w:t>
      </w:r>
      <w:r w:rsidR="000419F5">
        <w:t xml:space="preserve">  </w:t>
      </w:r>
    </w:p>
    <w:p w:rsidR="006D693F" w:rsidRDefault="00B07454" w:rsidP="000419F5">
      <w:r>
        <w:rPr>
          <w:b/>
        </w:rPr>
        <w:t xml:space="preserve">Answer: </w:t>
      </w:r>
      <w:r w:rsidR="000419F5">
        <w:t>T</w:t>
      </w:r>
      <w:r w:rsidR="00B63760">
        <w:t>he marketing</w:t>
      </w:r>
      <w:r w:rsidR="000419F5">
        <w:t xml:space="preserve"> function of the PSO will be </w:t>
      </w:r>
      <w:r w:rsidR="00E9223C">
        <w:t>fulfilled</w:t>
      </w:r>
      <w:r w:rsidR="00B63760">
        <w:t xml:space="preserve"> by TMA.  That does not mean </w:t>
      </w:r>
      <w:r w:rsidR="00984858">
        <w:t xml:space="preserve">that </w:t>
      </w:r>
      <w:r w:rsidR="00AB01BF">
        <w:t>TMA</w:t>
      </w:r>
      <w:r w:rsidR="00B63760">
        <w:t xml:space="preserve"> will not look to </w:t>
      </w:r>
      <w:r w:rsidR="00AB01BF">
        <w:t xml:space="preserve">the preferred vendor for marketing partnerships. </w:t>
      </w:r>
      <w:r w:rsidR="00B63760">
        <w:t xml:space="preserve">From a sales perspective, </w:t>
      </w:r>
      <w:r w:rsidR="00AB01BF">
        <w:lastRenderedPageBreak/>
        <w:t xml:space="preserve">TMA will work closely with the county medical societies </w:t>
      </w:r>
      <w:r w:rsidR="006D693F">
        <w:t>allowing a b</w:t>
      </w:r>
      <w:r w:rsidR="00B63760">
        <w:t>oots</w:t>
      </w:r>
      <w:r w:rsidR="006D693F">
        <w:t>-</w:t>
      </w:r>
      <w:r w:rsidR="00B63760">
        <w:t>on</w:t>
      </w:r>
      <w:r w:rsidR="006D693F">
        <w:t>-</w:t>
      </w:r>
      <w:r w:rsidR="00B63760">
        <w:t>the</w:t>
      </w:r>
      <w:r w:rsidR="006D693F">
        <w:t>-</w:t>
      </w:r>
      <w:r w:rsidR="00B63760">
        <w:t xml:space="preserve">ground sales arm. </w:t>
      </w:r>
      <w:r w:rsidR="006D693F">
        <w:t xml:space="preserve">All </w:t>
      </w:r>
      <w:r w:rsidR="00F72BEB">
        <w:t xml:space="preserve">applicable sales efforts would </w:t>
      </w:r>
      <w:r w:rsidR="006D693F">
        <w:t xml:space="preserve">be discussed jointly with the preferred vendors.  </w:t>
      </w:r>
    </w:p>
    <w:p w:rsidR="007D38F7" w:rsidRDefault="007D38F7" w:rsidP="000419F5"/>
    <w:p w:rsidR="007D38F7" w:rsidRDefault="007D38F7" w:rsidP="007D38F7">
      <w:r>
        <w:rPr>
          <w:b/>
        </w:rPr>
        <w:t xml:space="preserve">Question: </w:t>
      </w:r>
      <w:r>
        <w:t xml:space="preserve">Is TMA subsidizing the EHR for physicians? </w:t>
      </w:r>
    </w:p>
    <w:p w:rsidR="006D693F" w:rsidRDefault="007D38F7" w:rsidP="000419F5">
      <w:r>
        <w:rPr>
          <w:b/>
        </w:rPr>
        <w:t xml:space="preserve">Answer: </w:t>
      </w:r>
      <w:r>
        <w:t xml:space="preserve">No. </w:t>
      </w:r>
      <w:r w:rsidR="001E492F">
        <w:t>However, there will likely be financial support based upon innovative payment models, such as shared savings.</w:t>
      </w:r>
    </w:p>
    <w:p w:rsidR="001E492F" w:rsidRDefault="001E492F" w:rsidP="000419F5"/>
    <w:p w:rsidR="00766F11" w:rsidRDefault="00B07454" w:rsidP="00766F11">
      <w:r>
        <w:rPr>
          <w:b/>
        </w:rPr>
        <w:t xml:space="preserve">Question: </w:t>
      </w:r>
      <w:r w:rsidR="00766F11">
        <w:t>I</w:t>
      </w:r>
      <w:r w:rsidR="00F72BEB">
        <w:t xml:space="preserve">s there reluctance by TMA to identify or endorse preferred vendors?  </w:t>
      </w:r>
      <w:r w:rsidR="00766F11">
        <w:t xml:space="preserve"> </w:t>
      </w:r>
    </w:p>
    <w:p w:rsidR="00766F11" w:rsidRDefault="00B07454" w:rsidP="00766F11">
      <w:r>
        <w:rPr>
          <w:b/>
        </w:rPr>
        <w:t xml:space="preserve">Answer: </w:t>
      </w:r>
      <w:r w:rsidR="00F72BEB">
        <w:t xml:space="preserve">TMA is unique in its level of trust, engagement, and advocacy for its members. TMA will include the selected vendors as service providers within the PSO structure, which will be shared with TMA members and county medical societies.   </w:t>
      </w:r>
    </w:p>
    <w:p w:rsidR="006D693F" w:rsidRDefault="006D693F" w:rsidP="00766F11"/>
    <w:p w:rsidR="00F55CDF" w:rsidRDefault="00F55CDF" w:rsidP="00F55CDF">
      <w:r w:rsidRPr="0051110D">
        <w:rPr>
          <w:b/>
        </w:rPr>
        <w:t>Question:</w:t>
      </w:r>
      <w:r>
        <w:t xml:space="preserve"> Will TMA enter into non-disclosure agreements (NDAs) with vendors to protect pricing information that is disclosed during the RFP process?</w:t>
      </w:r>
    </w:p>
    <w:p w:rsidR="00F55CDF" w:rsidRDefault="00F55CDF" w:rsidP="00F55CDF">
      <w:r w:rsidRPr="00192DCD">
        <w:rPr>
          <w:b/>
        </w:rPr>
        <w:t>Answer:</w:t>
      </w:r>
      <w:r>
        <w:t xml:space="preserve"> TMA w</w:t>
      </w:r>
      <w:r w:rsidR="00F72BEB">
        <w:t>ill not</w:t>
      </w:r>
      <w:r>
        <w:t xml:space="preserve"> enter into any NDAs </w:t>
      </w:r>
      <w:r w:rsidR="00F72BEB">
        <w:t>as part of the RFP</w:t>
      </w:r>
      <w:r>
        <w:t xml:space="preserve"> process. Pricing </w:t>
      </w:r>
      <w:r w:rsidR="00F72BEB">
        <w:t xml:space="preserve">information will be kept </w:t>
      </w:r>
      <w:r>
        <w:t>confidential and held separately during the initial RFP review</w:t>
      </w:r>
      <w:r w:rsidR="00FA0A20">
        <w:t>,</w:t>
      </w:r>
      <w:r>
        <w:t xml:space="preserve"> as the focus will be on product functionality and interoperability. </w:t>
      </w:r>
      <w:r w:rsidR="009B480D">
        <w:t xml:space="preserve">However, pricing will be considered a factor for further consideration and selection as the RFP process continues.   </w:t>
      </w:r>
    </w:p>
    <w:p w:rsidR="007D38F7" w:rsidRDefault="007D38F7" w:rsidP="00F55CDF"/>
    <w:p w:rsidR="00F03805" w:rsidRDefault="00F03805" w:rsidP="00F03805">
      <w:r w:rsidRPr="002E5B22">
        <w:rPr>
          <w:b/>
        </w:rPr>
        <w:t>Question:</w:t>
      </w:r>
      <w:r>
        <w:t xml:space="preserve"> </w:t>
      </w:r>
      <w:r w:rsidR="009B480D">
        <w:t xml:space="preserve">Please describe the comparison or scoring process to be used during the RFP review.   </w:t>
      </w:r>
    </w:p>
    <w:p w:rsidR="00F03805" w:rsidRDefault="00F03805" w:rsidP="00F03805">
      <w:r w:rsidRPr="002E5B22">
        <w:rPr>
          <w:b/>
        </w:rPr>
        <w:t>Answer:</w:t>
      </w:r>
      <w:r>
        <w:t xml:space="preserve"> </w:t>
      </w:r>
      <w:r w:rsidR="009B480D">
        <w:t>A “typical” practice setting has not been identified, as TMA members encompass all types of disparate practice settings and needs. Pricing will be extracted during the initial part of the review process to ensure that functionality and interoperability capabilities are the appropriate focus.</w:t>
      </w:r>
    </w:p>
    <w:p w:rsidR="009B480D" w:rsidRDefault="009B480D" w:rsidP="00F03805"/>
    <w:p w:rsidR="00F03805" w:rsidRDefault="009B480D" w:rsidP="00F03805">
      <w:r>
        <w:t xml:space="preserve">As vendor </w:t>
      </w:r>
      <w:r w:rsidR="00F03805">
        <w:t xml:space="preserve">pricing is reviewed, </w:t>
      </w:r>
      <w:r>
        <w:t xml:space="preserve">please note the breakdown </w:t>
      </w:r>
      <w:r w:rsidR="00F03805">
        <w:t xml:space="preserve">by practice size (solo, 2-physician, </w:t>
      </w:r>
      <w:proofErr w:type="gramStart"/>
      <w:r w:rsidR="00F03805">
        <w:t>10</w:t>
      </w:r>
      <w:proofErr w:type="gramEnd"/>
      <w:r w:rsidR="00F03805">
        <w:t>-physician)</w:t>
      </w:r>
      <w:r w:rsidR="00FA0A20">
        <w:t>,</w:t>
      </w:r>
      <w:r w:rsidR="00F03805">
        <w:t xml:space="preserve"> as well as the following categories: Getting Started; Additional Options; and Ongoing Costs</w:t>
      </w:r>
      <w:r w:rsidR="004F1AE6">
        <w:t xml:space="preserve"> as indicated below: </w:t>
      </w:r>
    </w:p>
    <w:p w:rsidR="004F1AE6" w:rsidRDefault="004F1AE6" w:rsidP="00F03805"/>
    <w:tbl>
      <w:tblPr>
        <w:tblStyle w:val="TableGrid"/>
        <w:tblW w:w="0" w:type="auto"/>
        <w:tblLook w:val="04A0" w:firstRow="1" w:lastRow="0" w:firstColumn="1" w:lastColumn="0" w:noHBand="0" w:noVBand="1"/>
      </w:tblPr>
      <w:tblGrid>
        <w:gridCol w:w="3192"/>
        <w:gridCol w:w="3192"/>
        <w:gridCol w:w="3192"/>
      </w:tblGrid>
      <w:tr w:rsidR="004F1AE6" w:rsidRPr="004F7782" w:rsidTr="004F1AE6">
        <w:tc>
          <w:tcPr>
            <w:tcW w:w="3192" w:type="dxa"/>
          </w:tcPr>
          <w:p w:rsidR="004F1AE6" w:rsidRPr="00FA0A20" w:rsidRDefault="004F1AE6" w:rsidP="00F03805">
            <w:pPr>
              <w:rPr>
                <w:b/>
                <w:sz w:val="22"/>
                <w:szCs w:val="22"/>
              </w:rPr>
            </w:pPr>
            <w:r w:rsidRPr="00FA0A20">
              <w:rPr>
                <w:b/>
                <w:sz w:val="22"/>
                <w:szCs w:val="22"/>
              </w:rPr>
              <w:t>Getting Started</w:t>
            </w:r>
          </w:p>
        </w:tc>
        <w:tc>
          <w:tcPr>
            <w:tcW w:w="3192" w:type="dxa"/>
          </w:tcPr>
          <w:p w:rsidR="004F1AE6" w:rsidRPr="00FA0A20" w:rsidRDefault="004F1AE6" w:rsidP="00F03805">
            <w:pPr>
              <w:rPr>
                <w:b/>
                <w:sz w:val="22"/>
                <w:szCs w:val="22"/>
              </w:rPr>
            </w:pPr>
            <w:r w:rsidRPr="00FA0A20">
              <w:rPr>
                <w:b/>
                <w:sz w:val="22"/>
                <w:szCs w:val="22"/>
              </w:rPr>
              <w:t>Additional Options</w:t>
            </w:r>
          </w:p>
        </w:tc>
        <w:tc>
          <w:tcPr>
            <w:tcW w:w="3192" w:type="dxa"/>
          </w:tcPr>
          <w:p w:rsidR="004F1AE6" w:rsidRPr="00FA0A20" w:rsidRDefault="004F1AE6" w:rsidP="00F03805">
            <w:pPr>
              <w:rPr>
                <w:b/>
                <w:sz w:val="22"/>
                <w:szCs w:val="22"/>
              </w:rPr>
            </w:pPr>
            <w:r w:rsidRPr="00FA0A20">
              <w:rPr>
                <w:b/>
                <w:sz w:val="22"/>
                <w:szCs w:val="22"/>
              </w:rPr>
              <w:t>Ongoing Costs</w:t>
            </w:r>
          </w:p>
        </w:tc>
      </w:tr>
      <w:tr w:rsidR="004F1AE6" w:rsidRPr="004F7782" w:rsidTr="004F1AE6">
        <w:tc>
          <w:tcPr>
            <w:tcW w:w="3192" w:type="dxa"/>
          </w:tcPr>
          <w:p w:rsidR="004F1AE6" w:rsidRPr="00FA0A20" w:rsidRDefault="00B865F1" w:rsidP="00F03805">
            <w:pPr>
              <w:rPr>
                <w:sz w:val="22"/>
                <w:szCs w:val="22"/>
              </w:rPr>
            </w:pPr>
            <w:r w:rsidRPr="00FA0A20">
              <w:rPr>
                <w:sz w:val="22"/>
                <w:szCs w:val="22"/>
              </w:rPr>
              <w:t xml:space="preserve">Software License </w:t>
            </w:r>
          </w:p>
        </w:tc>
        <w:tc>
          <w:tcPr>
            <w:tcW w:w="3192" w:type="dxa"/>
          </w:tcPr>
          <w:p w:rsidR="004F1AE6" w:rsidRPr="00FA0A20" w:rsidRDefault="00B865F1" w:rsidP="00F03805">
            <w:pPr>
              <w:rPr>
                <w:sz w:val="22"/>
                <w:szCs w:val="22"/>
              </w:rPr>
            </w:pPr>
            <w:r w:rsidRPr="00FA0A20">
              <w:rPr>
                <w:sz w:val="22"/>
                <w:szCs w:val="22"/>
              </w:rPr>
              <w:t>Data conversion</w:t>
            </w:r>
          </w:p>
        </w:tc>
        <w:tc>
          <w:tcPr>
            <w:tcW w:w="3192" w:type="dxa"/>
          </w:tcPr>
          <w:p w:rsidR="004F1AE6" w:rsidRPr="00FA0A20" w:rsidRDefault="00B865F1" w:rsidP="00F03805">
            <w:pPr>
              <w:rPr>
                <w:sz w:val="22"/>
                <w:szCs w:val="22"/>
              </w:rPr>
            </w:pPr>
            <w:r w:rsidRPr="00FA0A20">
              <w:rPr>
                <w:sz w:val="22"/>
                <w:szCs w:val="22"/>
              </w:rPr>
              <w:t>Ongoing annual costs (annual license, support, any other ongoing fees)</w:t>
            </w:r>
          </w:p>
        </w:tc>
      </w:tr>
      <w:tr w:rsidR="00B865F1" w:rsidRPr="004F7782" w:rsidTr="004F1AE6">
        <w:tc>
          <w:tcPr>
            <w:tcW w:w="3192" w:type="dxa"/>
          </w:tcPr>
          <w:p w:rsidR="00B865F1" w:rsidRPr="00FA0A20" w:rsidRDefault="00B865F1" w:rsidP="00F03805">
            <w:pPr>
              <w:rPr>
                <w:sz w:val="22"/>
                <w:szCs w:val="22"/>
              </w:rPr>
            </w:pPr>
            <w:r w:rsidRPr="00FA0A20">
              <w:rPr>
                <w:sz w:val="22"/>
                <w:szCs w:val="22"/>
              </w:rPr>
              <w:t>Training and implementation</w:t>
            </w:r>
          </w:p>
        </w:tc>
        <w:tc>
          <w:tcPr>
            <w:tcW w:w="3192" w:type="dxa"/>
          </w:tcPr>
          <w:p w:rsidR="00B865F1" w:rsidRPr="00FA0A20" w:rsidRDefault="00B865F1" w:rsidP="00F03805">
            <w:pPr>
              <w:rPr>
                <w:sz w:val="22"/>
                <w:szCs w:val="22"/>
              </w:rPr>
            </w:pPr>
            <w:r w:rsidRPr="00FA0A20">
              <w:rPr>
                <w:sz w:val="22"/>
                <w:szCs w:val="22"/>
              </w:rPr>
              <w:t>Basic interface</w:t>
            </w:r>
          </w:p>
        </w:tc>
        <w:tc>
          <w:tcPr>
            <w:tcW w:w="3192" w:type="dxa"/>
          </w:tcPr>
          <w:p w:rsidR="00B865F1" w:rsidRPr="00FA0A20" w:rsidRDefault="00B865F1" w:rsidP="00F03805">
            <w:pPr>
              <w:rPr>
                <w:sz w:val="22"/>
                <w:szCs w:val="22"/>
              </w:rPr>
            </w:pPr>
          </w:p>
        </w:tc>
      </w:tr>
      <w:tr w:rsidR="00B865F1" w:rsidRPr="004F7782" w:rsidTr="004F1AE6">
        <w:tc>
          <w:tcPr>
            <w:tcW w:w="3192" w:type="dxa"/>
          </w:tcPr>
          <w:p w:rsidR="00B865F1" w:rsidRPr="00FA0A20" w:rsidRDefault="00B865F1" w:rsidP="00F03805">
            <w:pPr>
              <w:rPr>
                <w:sz w:val="22"/>
                <w:szCs w:val="22"/>
              </w:rPr>
            </w:pPr>
            <w:r w:rsidRPr="00FA0A20">
              <w:rPr>
                <w:sz w:val="22"/>
                <w:szCs w:val="22"/>
              </w:rPr>
              <w:t>Practice management (interface or additional software)</w:t>
            </w:r>
          </w:p>
        </w:tc>
        <w:tc>
          <w:tcPr>
            <w:tcW w:w="3192" w:type="dxa"/>
          </w:tcPr>
          <w:p w:rsidR="00B865F1" w:rsidRPr="00FA0A20" w:rsidRDefault="00B865F1" w:rsidP="00F03805">
            <w:pPr>
              <w:rPr>
                <w:sz w:val="22"/>
                <w:szCs w:val="22"/>
              </w:rPr>
            </w:pPr>
            <w:r w:rsidRPr="00FA0A20">
              <w:rPr>
                <w:sz w:val="22"/>
                <w:szCs w:val="22"/>
              </w:rPr>
              <w:t>Eligibility verification</w:t>
            </w:r>
          </w:p>
        </w:tc>
        <w:tc>
          <w:tcPr>
            <w:tcW w:w="3192" w:type="dxa"/>
          </w:tcPr>
          <w:p w:rsidR="00B865F1" w:rsidRPr="00FA0A20" w:rsidRDefault="00B865F1" w:rsidP="00F03805">
            <w:pPr>
              <w:rPr>
                <w:sz w:val="22"/>
                <w:szCs w:val="22"/>
              </w:rPr>
            </w:pPr>
          </w:p>
        </w:tc>
      </w:tr>
      <w:tr w:rsidR="00B865F1" w:rsidRPr="004F7782" w:rsidTr="004F1AE6">
        <w:tc>
          <w:tcPr>
            <w:tcW w:w="3192" w:type="dxa"/>
          </w:tcPr>
          <w:p w:rsidR="00B865F1" w:rsidRPr="00FA0A20" w:rsidRDefault="00B865F1" w:rsidP="00F03805">
            <w:pPr>
              <w:rPr>
                <w:sz w:val="22"/>
                <w:szCs w:val="22"/>
              </w:rPr>
            </w:pPr>
            <w:r w:rsidRPr="00FA0A20">
              <w:rPr>
                <w:sz w:val="22"/>
                <w:szCs w:val="22"/>
              </w:rPr>
              <w:t xml:space="preserve">E-prescribing (module or interface) </w:t>
            </w:r>
          </w:p>
        </w:tc>
        <w:tc>
          <w:tcPr>
            <w:tcW w:w="3192" w:type="dxa"/>
          </w:tcPr>
          <w:p w:rsidR="00B865F1" w:rsidRPr="00FA0A20" w:rsidRDefault="00B865F1" w:rsidP="00F03805">
            <w:pPr>
              <w:rPr>
                <w:sz w:val="22"/>
                <w:szCs w:val="22"/>
              </w:rPr>
            </w:pPr>
            <w:r w:rsidRPr="00FA0A20">
              <w:rPr>
                <w:sz w:val="22"/>
                <w:szCs w:val="22"/>
              </w:rPr>
              <w:t xml:space="preserve">Patient portal </w:t>
            </w:r>
          </w:p>
        </w:tc>
        <w:tc>
          <w:tcPr>
            <w:tcW w:w="3192" w:type="dxa"/>
          </w:tcPr>
          <w:p w:rsidR="00B865F1" w:rsidRPr="00FA0A20" w:rsidRDefault="00B865F1" w:rsidP="00F03805">
            <w:pPr>
              <w:rPr>
                <w:sz w:val="22"/>
                <w:szCs w:val="22"/>
              </w:rPr>
            </w:pPr>
          </w:p>
        </w:tc>
      </w:tr>
      <w:tr w:rsidR="00B865F1" w:rsidRPr="004F7782" w:rsidTr="004F1AE6">
        <w:tc>
          <w:tcPr>
            <w:tcW w:w="3192" w:type="dxa"/>
          </w:tcPr>
          <w:p w:rsidR="00B865F1" w:rsidRPr="00FA0A20" w:rsidRDefault="00B865F1" w:rsidP="00F03805">
            <w:pPr>
              <w:rPr>
                <w:sz w:val="22"/>
                <w:szCs w:val="22"/>
              </w:rPr>
            </w:pPr>
            <w:r w:rsidRPr="00FA0A20">
              <w:rPr>
                <w:sz w:val="22"/>
                <w:szCs w:val="22"/>
              </w:rPr>
              <w:t xml:space="preserve">Technical support </w:t>
            </w:r>
          </w:p>
        </w:tc>
        <w:tc>
          <w:tcPr>
            <w:tcW w:w="3192" w:type="dxa"/>
          </w:tcPr>
          <w:p w:rsidR="00B865F1" w:rsidRPr="00FA0A20" w:rsidRDefault="00B865F1" w:rsidP="00F03805">
            <w:pPr>
              <w:rPr>
                <w:sz w:val="22"/>
                <w:szCs w:val="22"/>
              </w:rPr>
            </w:pPr>
            <w:r w:rsidRPr="00FA0A20">
              <w:rPr>
                <w:sz w:val="22"/>
                <w:szCs w:val="22"/>
              </w:rPr>
              <w:t>Secure messaging</w:t>
            </w:r>
          </w:p>
        </w:tc>
        <w:tc>
          <w:tcPr>
            <w:tcW w:w="3192" w:type="dxa"/>
          </w:tcPr>
          <w:p w:rsidR="00B865F1" w:rsidRPr="00FA0A20" w:rsidRDefault="00B865F1" w:rsidP="00F03805">
            <w:pPr>
              <w:rPr>
                <w:sz w:val="22"/>
                <w:szCs w:val="22"/>
              </w:rPr>
            </w:pPr>
          </w:p>
        </w:tc>
      </w:tr>
      <w:tr w:rsidR="00B865F1" w:rsidRPr="004F7782" w:rsidTr="004F1AE6">
        <w:tc>
          <w:tcPr>
            <w:tcW w:w="3192" w:type="dxa"/>
          </w:tcPr>
          <w:p w:rsidR="00B865F1" w:rsidRPr="00FA0A20" w:rsidRDefault="00B865F1" w:rsidP="00F03805">
            <w:pPr>
              <w:rPr>
                <w:sz w:val="22"/>
                <w:szCs w:val="22"/>
              </w:rPr>
            </w:pPr>
            <w:r w:rsidRPr="00FA0A20">
              <w:rPr>
                <w:sz w:val="22"/>
                <w:szCs w:val="22"/>
              </w:rPr>
              <w:t xml:space="preserve">Other required costs </w:t>
            </w:r>
          </w:p>
        </w:tc>
        <w:tc>
          <w:tcPr>
            <w:tcW w:w="3192" w:type="dxa"/>
          </w:tcPr>
          <w:p w:rsidR="00B865F1" w:rsidRPr="00FA0A20" w:rsidRDefault="00B865F1" w:rsidP="00F03805">
            <w:pPr>
              <w:rPr>
                <w:sz w:val="22"/>
                <w:szCs w:val="22"/>
              </w:rPr>
            </w:pPr>
            <w:r w:rsidRPr="00FA0A20">
              <w:rPr>
                <w:sz w:val="22"/>
                <w:szCs w:val="22"/>
              </w:rPr>
              <w:t xml:space="preserve">Reporting tools </w:t>
            </w:r>
          </w:p>
        </w:tc>
        <w:tc>
          <w:tcPr>
            <w:tcW w:w="3192" w:type="dxa"/>
          </w:tcPr>
          <w:p w:rsidR="00B865F1" w:rsidRPr="00FA0A20" w:rsidRDefault="00B865F1" w:rsidP="00F03805">
            <w:pPr>
              <w:rPr>
                <w:sz w:val="22"/>
                <w:szCs w:val="22"/>
              </w:rPr>
            </w:pPr>
          </w:p>
        </w:tc>
      </w:tr>
      <w:tr w:rsidR="00B865F1" w:rsidRPr="004F7782" w:rsidTr="004F1AE6">
        <w:tc>
          <w:tcPr>
            <w:tcW w:w="3192" w:type="dxa"/>
          </w:tcPr>
          <w:p w:rsidR="00B865F1" w:rsidRPr="00FA0A20" w:rsidRDefault="00B865F1" w:rsidP="00F03805">
            <w:pPr>
              <w:rPr>
                <w:sz w:val="22"/>
                <w:szCs w:val="22"/>
              </w:rPr>
            </w:pPr>
            <w:r w:rsidRPr="00FA0A20">
              <w:rPr>
                <w:sz w:val="22"/>
                <w:szCs w:val="22"/>
              </w:rPr>
              <w:t>Hardware</w:t>
            </w:r>
          </w:p>
        </w:tc>
        <w:tc>
          <w:tcPr>
            <w:tcW w:w="3192" w:type="dxa"/>
          </w:tcPr>
          <w:p w:rsidR="00B865F1" w:rsidRPr="00FA0A20" w:rsidRDefault="00B865F1" w:rsidP="00F03805">
            <w:pPr>
              <w:rPr>
                <w:sz w:val="22"/>
                <w:szCs w:val="22"/>
              </w:rPr>
            </w:pPr>
            <w:r w:rsidRPr="00FA0A20">
              <w:rPr>
                <w:sz w:val="22"/>
                <w:szCs w:val="22"/>
              </w:rPr>
              <w:t>Scanning software</w:t>
            </w:r>
          </w:p>
        </w:tc>
        <w:tc>
          <w:tcPr>
            <w:tcW w:w="3192" w:type="dxa"/>
          </w:tcPr>
          <w:p w:rsidR="00B865F1" w:rsidRPr="00FA0A20" w:rsidRDefault="00B865F1" w:rsidP="00F03805">
            <w:pPr>
              <w:rPr>
                <w:sz w:val="22"/>
                <w:szCs w:val="22"/>
              </w:rPr>
            </w:pPr>
          </w:p>
        </w:tc>
      </w:tr>
      <w:tr w:rsidR="00B865F1" w:rsidRPr="004F7782" w:rsidTr="004F1AE6">
        <w:tc>
          <w:tcPr>
            <w:tcW w:w="3192" w:type="dxa"/>
          </w:tcPr>
          <w:p w:rsidR="00B865F1" w:rsidRPr="00FA0A20" w:rsidRDefault="00B865F1" w:rsidP="00F03805">
            <w:pPr>
              <w:rPr>
                <w:sz w:val="22"/>
                <w:szCs w:val="22"/>
              </w:rPr>
            </w:pPr>
          </w:p>
        </w:tc>
        <w:tc>
          <w:tcPr>
            <w:tcW w:w="3192" w:type="dxa"/>
          </w:tcPr>
          <w:p w:rsidR="00B865F1" w:rsidRPr="00FA0A20" w:rsidRDefault="00B865F1" w:rsidP="00F03805">
            <w:pPr>
              <w:rPr>
                <w:sz w:val="22"/>
                <w:szCs w:val="22"/>
              </w:rPr>
            </w:pPr>
            <w:r w:rsidRPr="00FA0A20">
              <w:rPr>
                <w:sz w:val="22"/>
                <w:szCs w:val="22"/>
              </w:rPr>
              <w:t>Voice recognition software</w:t>
            </w:r>
          </w:p>
        </w:tc>
        <w:tc>
          <w:tcPr>
            <w:tcW w:w="3192" w:type="dxa"/>
          </w:tcPr>
          <w:p w:rsidR="00B865F1" w:rsidRPr="00FA0A20" w:rsidRDefault="00B865F1" w:rsidP="00F03805">
            <w:pPr>
              <w:rPr>
                <w:sz w:val="22"/>
                <w:szCs w:val="22"/>
              </w:rPr>
            </w:pPr>
          </w:p>
        </w:tc>
      </w:tr>
      <w:tr w:rsidR="00B865F1" w:rsidRPr="004F7782" w:rsidTr="004F1AE6">
        <w:tc>
          <w:tcPr>
            <w:tcW w:w="3192" w:type="dxa"/>
          </w:tcPr>
          <w:p w:rsidR="00B865F1" w:rsidRPr="00FA0A20" w:rsidRDefault="00B865F1" w:rsidP="00F03805">
            <w:pPr>
              <w:rPr>
                <w:sz w:val="22"/>
                <w:szCs w:val="22"/>
              </w:rPr>
            </w:pPr>
          </w:p>
        </w:tc>
        <w:tc>
          <w:tcPr>
            <w:tcW w:w="3192" w:type="dxa"/>
          </w:tcPr>
          <w:p w:rsidR="00B865F1" w:rsidRPr="00FA0A20" w:rsidRDefault="00B865F1" w:rsidP="00F03805">
            <w:pPr>
              <w:rPr>
                <w:sz w:val="22"/>
                <w:szCs w:val="22"/>
              </w:rPr>
            </w:pPr>
            <w:r w:rsidRPr="00FA0A20">
              <w:rPr>
                <w:sz w:val="22"/>
                <w:szCs w:val="22"/>
              </w:rPr>
              <w:t>Additional costs to accommodate ICD-10</w:t>
            </w:r>
          </w:p>
        </w:tc>
        <w:tc>
          <w:tcPr>
            <w:tcW w:w="3192" w:type="dxa"/>
          </w:tcPr>
          <w:p w:rsidR="00B865F1" w:rsidRPr="00FA0A20" w:rsidRDefault="00B865F1" w:rsidP="00F03805">
            <w:pPr>
              <w:rPr>
                <w:sz w:val="22"/>
                <w:szCs w:val="22"/>
              </w:rPr>
            </w:pPr>
          </w:p>
        </w:tc>
      </w:tr>
      <w:tr w:rsidR="00B865F1" w:rsidRPr="004F7782" w:rsidTr="004F1AE6">
        <w:tc>
          <w:tcPr>
            <w:tcW w:w="3192" w:type="dxa"/>
          </w:tcPr>
          <w:p w:rsidR="00B865F1" w:rsidRPr="00FA0A20" w:rsidRDefault="00B865F1" w:rsidP="00F03805">
            <w:pPr>
              <w:rPr>
                <w:sz w:val="22"/>
                <w:szCs w:val="22"/>
              </w:rPr>
            </w:pPr>
          </w:p>
        </w:tc>
        <w:tc>
          <w:tcPr>
            <w:tcW w:w="3192" w:type="dxa"/>
          </w:tcPr>
          <w:p w:rsidR="00B865F1" w:rsidRPr="00FA0A20" w:rsidRDefault="00B865F1" w:rsidP="00F03805">
            <w:pPr>
              <w:rPr>
                <w:sz w:val="22"/>
                <w:szCs w:val="22"/>
              </w:rPr>
            </w:pPr>
            <w:r w:rsidRPr="00FA0A20">
              <w:rPr>
                <w:sz w:val="22"/>
                <w:szCs w:val="22"/>
              </w:rPr>
              <w:t>Additional fees for remote locations</w:t>
            </w:r>
          </w:p>
        </w:tc>
        <w:tc>
          <w:tcPr>
            <w:tcW w:w="3192" w:type="dxa"/>
          </w:tcPr>
          <w:p w:rsidR="00B865F1" w:rsidRPr="00FA0A20" w:rsidRDefault="00B865F1" w:rsidP="00F03805">
            <w:pPr>
              <w:rPr>
                <w:sz w:val="22"/>
                <w:szCs w:val="22"/>
              </w:rPr>
            </w:pPr>
          </w:p>
        </w:tc>
      </w:tr>
    </w:tbl>
    <w:p w:rsidR="004F1AE6" w:rsidRPr="004F7782" w:rsidRDefault="004F1AE6" w:rsidP="00F03805">
      <w:pPr>
        <w:rPr>
          <w:rFonts w:asciiTheme="minorHAnsi" w:hAnsiTheme="minorHAnsi"/>
          <w:sz w:val="22"/>
          <w:szCs w:val="22"/>
        </w:rPr>
      </w:pPr>
    </w:p>
    <w:p w:rsidR="00F03805" w:rsidRDefault="00F03805" w:rsidP="00651C0D"/>
    <w:p w:rsidR="003B050C" w:rsidRDefault="00DE0689" w:rsidP="003B050C">
      <w:r>
        <w:rPr>
          <w:b/>
        </w:rPr>
        <w:t>Question</w:t>
      </w:r>
      <w:r>
        <w:t>:</w:t>
      </w:r>
      <w:r w:rsidR="003B050C">
        <w:t xml:space="preserve"> What is the </w:t>
      </w:r>
      <w:r w:rsidR="009B480D">
        <w:t xml:space="preserve">percentage of </w:t>
      </w:r>
      <w:r w:rsidR="003B050C">
        <w:t xml:space="preserve">Texas of physicians who are trying to meet meaningful use?  Of those, </w:t>
      </w:r>
      <w:r w:rsidR="009B480D">
        <w:t xml:space="preserve">describe the breakdown of Medicare and Medicaid.  </w:t>
      </w:r>
    </w:p>
    <w:p w:rsidR="003B050C" w:rsidRDefault="00DE0689" w:rsidP="003B050C">
      <w:r>
        <w:rPr>
          <w:b/>
        </w:rPr>
        <w:t>Answer:</w:t>
      </w:r>
      <w:r w:rsidR="003B050C">
        <w:t xml:space="preserve">  </w:t>
      </w:r>
      <w:r w:rsidR="00F03805">
        <w:t xml:space="preserve">According to the 2012 TMA survey, </w:t>
      </w:r>
      <w:r w:rsidR="002E71EB">
        <w:t>33 percent</w:t>
      </w:r>
      <w:r w:rsidR="009B480D">
        <w:t xml:space="preserve"> of physicians </w:t>
      </w:r>
      <w:r w:rsidR="002E71EB">
        <w:t>applied for Medicare incentives, and 12 percent applied for Me</w:t>
      </w:r>
      <w:r w:rsidR="009B480D">
        <w:t>dicaid incentives.</w:t>
      </w:r>
      <w:r w:rsidR="002E71EB">
        <w:t xml:space="preserve"> Another 27 percent </w:t>
      </w:r>
      <w:r w:rsidR="009B480D">
        <w:t xml:space="preserve">did not know </w:t>
      </w:r>
      <w:r w:rsidR="002E71EB">
        <w:t>if their practice had applied. Below is data from CMS regarding the actual number of eligible providers</w:t>
      </w:r>
      <w:r w:rsidR="00343E7B">
        <w:t xml:space="preserve"> and hospitals in Texas</w:t>
      </w:r>
      <w:r w:rsidR="002E71EB">
        <w:t xml:space="preserve"> that have participated in the EHR incentive </w:t>
      </w:r>
      <w:proofErr w:type="gramStart"/>
      <w:r w:rsidR="002E71EB">
        <w:t>program:</w:t>
      </w:r>
      <w:proofErr w:type="gramEnd"/>
      <w:r w:rsidR="002E71EB">
        <w:t xml:space="preserve"> </w:t>
      </w:r>
    </w:p>
    <w:p w:rsidR="002E71EB" w:rsidRDefault="002E71EB" w:rsidP="003B050C"/>
    <w:tbl>
      <w:tblPr>
        <w:tblpPr w:leftFromText="180" w:rightFromText="180" w:vertAnchor="text" w:horzAnchor="margin" w:tblpXSpec="center" w:tblpY="-2"/>
        <w:tblW w:w="9630" w:type="dxa"/>
        <w:tblLayout w:type="fixed"/>
        <w:tblCellMar>
          <w:left w:w="0" w:type="dxa"/>
          <w:right w:w="0" w:type="dxa"/>
        </w:tblCellMar>
        <w:tblLook w:val="04A0" w:firstRow="1" w:lastRow="0" w:firstColumn="1" w:lastColumn="0" w:noHBand="0" w:noVBand="1"/>
      </w:tblPr>
      <w:tblGrid>
        <w:gridCol w:w="3174"/>
        <w:gridCol w:w="2398"/>
        <w:gridCol w:w="2029"/>
        <w:gridCol w:w="2029"/>
      </w:tblGrid>
      <w:tr w:rsidR="002E71EB" w:rsidRPr="00405F8D" w:rsidTr="00221BF3">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71EB" w:rsidRPr="00FA0A20" w:rsidRDefault="002E71EB" w:rsidP="00221BF3">
            <w:pPr>
              <w:jc w:val="center"/>
              <w:rPr>
                <w:rFonts w:eastAsia="Calibri"/>
                <w:b/>
                <w:bCs/>
                <w:sz w:val="22"/>
                <w:szCs w:val="22"/>
              </w:rPr>
            </w:pPr>
            <w:r w:rsidRPr="00FA0A20">
              <w:rPr>
                <w:b/>
                <w:bCs/>
                <w:sz w:val="22"/>
                <w:szCs w:val="22"/>
              </w:rPr>
              <w:t>EHR Incentive Program</w:t>
            </w:r>
          </w:p>
        </w:tc>
        <w:tc>
          <w:tcPr>
            <w:tcW w:w="315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E71EB" w:rsidRPr="00FA0A20" w:rsidRDefault="002E71EB" w:rsidP="00221BF3">
            <w:pPr>
              <w:jc w:val="center"/>
              <w:rPr>
                <w:rFonts w:eastAsia="Calibri"/>
                <w:b/>
                <w:bCs/>
                <w:sz w:val="22"/>
                <w:szCs w:val="22"/>
              </w:rPr>
            </w:pPr>
            <w:r w:rsidRPr="00FA0A20">
              <w:rPr>
                <w:b/>
                <w:bCs/>
                <w:sz w:val="22"/>
                <w:szCs w:val="22"/>
              </w:rPr>
              <w:t># Paid</w:t>
            </w:r>
            <w:r w:rsidR="00343E7B" w:rsidRPr="00FA0A20">
              <w:rPr>
                <w:b/>
                <w:bCs/>
                <w:sz w:val="22"/>
                <w:szCs w:val="22"/>
              </w:rPr>
              <w:t xml:space="preserve"> as of November 2013</w:t>
            </w:r>
          </w:p>
        </w:tc>
      </w:tr>
      <w:tr w:rsidR="002E71EB" w:rsidRPr="00405F8D" w:rsidTr="00221BF3">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71EB" w:rsidRPr="00FA0A20" w:rsidRDefault="002E71EB" w:rsidP="00221BF3">
            <w:pPr>
              <w:jc w:val="center"/>
              <w:rPr>
                <w:rFonts w:eastAsia="Calibri"/>
                <w:b/>
                <w:bCs/>
                <w:sz w:val="22"/>
                <w:szCs w:val="22"/>
              </w:rPr>
            </w:pP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E71EB" w:rsidRPr="00FA0A20" w:rsidRDefault="002E71EB" w:rsidP="00221BF3">
            <w:pPr>
              <w:jc w:val="center"/>
              <w:rPr>
                <w:rFonts w:eastAsia="Calibri"/>
                <w:b/>
                <w:bCs/>
                <w:sz w:val="22"/>
                <w:szCs w:val="22"/>
              </w:rPr>
            </w:pPr>
            <w:r w:rsidRPr="00FA0A20">
              <w:rPr>
                <w:b/>
                <w:bCs/>
                <w:sz w:val="22"/>
                <w:szCs w:val="22"/>
              </w:rPr>
              <w:t>EPs</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E71EB" w:rsidRPr="00FA0A20" w:rsidRDefault="002E71EB" w:rsidP="00221BF3">
            <w:pPr>
              <w:jc w:val="center"/>
              <w:rPr>
                <w:rFonts w:eastAsia="Calibri"/>
                <w:b/>
                <w:bCs/>
                <w:sz w:val="22"/>
                <w:szCs w:val="22"/>
              </w:rPr>
            </w:pPr>
            <w:r w:rsidRPr="00FA0A20">
              <w:rPr>
                <w:b/>
                <w:bCs/>
                <w:sz w:val="22"/>
                <w:szCs w:val="22"/>
              </w:rPr>
              <w:t>Hospital</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E71EB" w:rsidRPr="00FA0A20" w:rsidRDefault="002E71EB" w:rsidP="00221BF3">
            <w:pPr>
              <w:jc w:val="center"/>
              <w:rPr>
                <w:rFonts w:eastAsia="Calibri"/>
                <w:b/>
                <w:bCs/>
                <w:sz w:val="22"/>
                <w:szCs w:val="22"/>
              </w:rPr>
            </w:pPr>
            <w:r w:rsidRPr="00FA0A20">
              <w:rPr>
                <w:b/>
                <w:bCs/>
                <w:sz w:val="22"/>
                <w:szCs w:val="22"/>
              </w:rPr>
              <w:t>Total</w:t>
            </w:r>
          </w:p>
        </w:tc>
      </w:tr>
      <w:tr w:rsidR="002E71EB" w:rsidRPr="007752C4" w:rsidTr="00221BF3">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1EB" w:rsidRPr="00FA0A20" w:rsidRDefault="002E71EB" w:rsidP="00221BF3">
            <w:pPr>
              <w:rPr>
                <w:rFonts w:eastAsia="Calibri"/>
                <w:sz w:val="22"/>
                <w:szCs w:val="22"/>
              </w:rPr>
            </w:pPr>
            <w:r w:rsidRPr="00FA0A20">
              <w:rPr>
                <w:sz w:val="22"/>
                <w:szCs w:val="22"/>
              </w:rPr>
              <w:t>Medicare</w:t>
            </w:r>
          </w:p>
        </w:tc>
        <w:tc>
          <w:tcPr>
            <w:tcW w:w="1170" w:type="dxa"/>
            <w:tcBorders>
              <w:top w:val="nil"/>
              <w:left w:val="nil"/>
              <w:bottom w:val="single" w:sz="8" w:space="0" w:color="auto"/>
              <w:right w:val="single" w:sz="8" w:space="0" w:color="auto"/>
            </w:tcBorders>
            <w:tcMar>
              <w:top w:w="0" w:type="dxa"/>
              <w:left w:w="108" w:type="dxa"/>
              <w:bottom w:w="0" w:type="dxa"/>
              <w:right w:w="108" w:type="dxa"/>
            </w:tcMar>
          </w:tcPr>
          <w:p w:rsidR="002E71EB" w:rsidRPr="00FA0A20" w:rsidRDefault="002E71EB" w:rsidP="00221BF3">
            <w:pPr>
              <w:jc w:val="center"/>
              <w:rPr>
                <w:rFonts w:eastAsia="Calibri"/>
                <w:sz w:val="22"/>
                <w:szCs w:val="22"/>
              </w:rPr>
            </w:pPr>
            <w:r w:rsidRPr="00FA0A20">
              <w:rPr>
                <w:rFonts w:eastAsia="Calibri"/>
                <w:sz w:val="22"/>
                <w:szCs w:val="22"/>
              </w:rPr>
              <w:t>15,620</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2E71EB" w:rsidRPr="00FA0A20" w:rsidRDefault="002E71EB" w:rsidP="00221BF3">
            <w:pPr>
              <w:jc w:val="center"/>
              <w:rPr>
                <w:rFonts w:eastAsia="Calibri"/>
                <w:sz w:val="22"/>
                <w:szCs w:val="22"/>
              </w:rPr>
            </w:pPr>
            <w:r w:rsidRPr="00FA0A20">
              <w:rPr>
                <w:rFonts w:eastAsia="Calibri"/>
                <w:sz w:val="22"/>
                <w:szCs w:val="22"/>
              </w:rPr>
              <w:t>412</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2E71EB" w:rsidRPr="00FA0A20" w:rsidRDefault="002E71EB" w:rsidP="00221BF3">
            <w:pPr>
              <w:jc w:val="center"/>
              <w:rPr>
                <w:rFonts w:eastAsia="Calibri"/>
                <w:sz w:val="22"/>
                <w:szCs w:val="22"/>
              </w:rPr>
            </w:pPr>
            <w:r w:rsidRPr="00FA0A20">
              <w:rPr>
                <w:rFonts w:eastAsia="Calibri"/>
                <w:sz w:val="22"/>
                <w:szCs w:val="22"/>
              </w:rPr>
              <w:t>16,032</w:t>
            </w:r>
          </w:p>
        </w:tc>
      </w:tr>
      <w:tr w:rsidR="002E71EB" w:rsidRPr="007752C4" w:rsidTr="00221BF3">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1EB" w:rsidRPr="00FA0A20" w:rsidRDefault="002E71EB" w:rsidP="00221BF3">
            <w:pPr>
              <w:rPr>
                <w:rFonts w:eastAsia="Calibri"/>
                <w:sz w:val="22"/>
                <w:szCs w:val="22"/>
              </w:rPr>
            </w:pPr>
            <w:r w:rsidRPr="00FA0A20">
              <w:rPr>
                <w:sz w:val="22"/>
                <w:szCs w:val="22"/>
              </w:rPr>
              <w:t>Medicaid</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E71EB" w:rsidRPr="00FA0A20" w:rsidRDefault="002E71EB" w:rsidP="00221BF3">
            <w:pPr>
              <w:jc w:val="center"/>
              <w:rPr>
                <w:rFonts w:eastAsia="Calibri"/>
                <w:sz w:val="22"/>
                <w:szCs w:val="22"/>
              </w:rPr>
            </w:pPr>
            <w:r w:rsidRPr="00FA0A20">
              <w:rPr>
                <w:rFonts w:eastAsia="Calibri"/>
                <w:sz w:val="22"/>
                <w:szCs w:val="22"/>
              </w:rPr>
              <w:t>8,111</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E71EB" w:rsidRPr="00FA0A20" w:rsidRDefault="002E71EB" w:rsidP="00221BF3">
            <w:pPr>
              <w:jc w:val="center"/>
              <w:rPr>
                <w:rFonts w:eastAsia="Calibri"/>
                <w:sz w:val="22"/>
                <w:szCs w:val="22"/>
              </w:rPr>
            </w:pPr>
            <w:r w:rsidRPr="00FA0A20">
              <w:rPr>
                <w:rFonts w:eastAsia="Calibri"/>
                <w:sz w:val="22"/>
                <w:szCs w:val="22"/>
              </w:rPr>
              <w:t>464</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E71EB" w:rsidRPr="00FA0A20" w:rsidRDefault="002E71EB" w:rsidP="00221BF3">
            <w:pPr>
              <w:jc w:val="center"/>
              <w:rPr>
                <w:rFonts w:eastAsia="Calibri"/>
                <w:sz w:val="22"/>
                <w:szCs w:val="22"/>
              </w:rPr>
            </w:pPr>
            <w:r w:rsidRPr="00FA0A20">
              <w:rPr>
                <w:rFonts w:eastAsia="Calibri"/>
                <w:sz w:val="22"/>
                <w:szCs w:val="22"/>
              </w:rPr>
              <w:t>8,575</w:t>
            </w:r>
          </w:p>
        </w:tc>
      </w:tr>
      <w:tr w:rsidR="002E71EB" w:rsidRPr="007752C4" w:rsidTr="00221BF3">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1EB" w:rsidRPr="00FA0A20" w:rsidRDefault="002E71EB" w:rsidP="00221BF3">
            <w:pPr>
              <w:jc w:val="right"/>
              <w:rPr>
                <w:rFonts w:eastAsia="Calibri"/>
                <w:b/>
                <w:bCs/>
                <w:sz w:val="22"/>
                <w:szCs w:val="22"/>
              </w:rPr>
            </w:pPr>
            <w:r w:rsidRPr="00FA0A20">
              <w:rPr>
                <w:b/>
                <w:bCs/>
                <w:sz w:val="22"/>
                <w:szCs w:val="22"/>
              </w:rPr>
              <w:t>Total</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2E71EB" w:rsidRPr="00FA0A20" w:rsidRDefault="002E71EB" w:rsidP="00221BF3">
            <w:pPr>
              <w:jc w:val="center"/>
              <w:rPr>
                <w:rFonts w:eastAsia="Calibri"/>
                <w:sz w:val="22"/>
                <w:szCs w:val="22"/>
              </w:rPr>
            </w:pPr>
            <w:r w:rsidRPr="00FA0A20">
              <w:rPr>
                <w:rFonts w:eastAsia="Calibri"/>
                <w:sz w:val="22"/>
                <w:szCs w:val="22"/>
              </w:rPr>
              <w:t>23,731</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E71EB" w:rsidRPr="00FA0A20" w:rsidRDefault="002E71EB" w:rsidP="00221BF3">
            <w:pPr>
              <w:jc w:val="center"/>
              <w:rPr>
                <w:rFonts w:eastAsia="Calibri"/>
                <w:sz w:val="22"/>
                <w:szCs w:val="22"/>
              </w:rPr>
            </w:pPr>
            <w:r w:rsidRPr="00FA0A20">
              <w:rPr>
                <w:rFonts w:eastAsia="Calibri"/>
                <w:sz w:val="22"/>
                <w:szCs w:val="22"/>
              </w:rPr>
              <w:t>876</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2E71EB" w:rsidRPr="00FA0A20" w:rsidRDefault="002E71EB" w:rsidP="00221BF3">
            <w:pPr>
              <w:jc w:val="center"/>
              <w:rPr>
                <w:rFonts w:eastAsia="Calibri"/>
                <w:sz w:val="22"/>
                <w:szCs w:val="22"/>
              </w:rPr>
            </w:pPr>
            <w:r w:rsidRPr="00FA0A20">
              <w:rPr>
                <w:rFonts w:eastAsia="Calibri"/>
                <w:sz w:val="22"/>
                <w:szCs w:val="22"/>
              </w:rPr>
              <w:t>24,607</w:t>
            </w:r>
          </w:p>
        </w:tc>
      </w:tr>
    </w:tbl>
    <w:p w:rsidR="00A9057F" w:rsidRDefault="00E9223C" w:rsidP="003B050C">
      <w:r>
        <w:rPr>
          <w:b/>
        </w:rPr>
        <w:t>Q</w:t>
      </w:r>
      <w:r w:rsidR="00DE0689" w:rsidRPr="00AA6F33">
        <w:rPr>
          <w:b/>
        </w:rPr>
        <w:t>uestion:</w:t>
      </w:r>
      <w:r w:rsidR="00A9057F">
        <w:t xml:space="preserve"> Is TMA looking for integration or interface interoperability? </w:t>
      </w:r>
    </w:p>
    <w:p w:rsidR="00DE0689" w:rsidRDefault="00DE0689" w:rsidP="00DE0689">
      <w:r w:rsidRPr="00AA6F33">
        <w:rPr>
          <w:b/>
        </w:rPr>
        <w:t>Answer:</w:t>
      </w:r>
      <w:r>
        <w:t xml:space="preserve"> </w:t>
      </w:r>
      <w:r w:rsidR="009B480D">
        <w:t>Integration and interface</w:t>
      </w:r>
      <w:r>
        <w:t xml:space="preserve">. Extraction of data and sharing information between practices are </w:t>
      </w:r>
      <w:r w:rsidR="009B480D">
        <w:t>important factors</w:t>
      </w:r>
      <w:r w:rsidR="00FA0A20">
        <w:t>,</w:t>
      </w:r>
      <w:r w:rsidR="009B480D">
        <w:t xml:space="preserve"> a</w:t>
      </w:r>
      <w:r>
        <w:t>llow</w:t>
      </w:r>
      <w:r w:rsidR="009B480D">
        <w:t>ing</w:t>
      </w:r>
      <w:r>
        <w:t xml:space="preserve"> members of the PSO to identify care gaps in patient care. TMA is looking to the vendor partners to share data to benefit the PSO</w:t>
      </w:r>
      <w:r w:rsidR="009B480D">
        <w:t>, and thereby its members</w:t>
      </w:r>
      <w:r>
        <w:t>.</w:t>
      </w:r>
    </w:p>
    <w:p w:rsidR="00DE0689" w:rsidRDefault="00DE0689" w:rsidP="003B050C"/>
    <w:p w:rsidR="00757998" w:rsidRDefault="00DE0689" w:rsidP="00813B83">
      <w:r>
        <w:rPr>
          <w:b/>
        </w:rPr>
        <w:t>Question:</w:t>
      </w:r>
      <w:r w:rsidR="009B480D">
        <w:t xml:space="preserve"> Please describe the importance of data for analytics.   </w:t>
      </w:r>
    </w:p>
    <w:p w:rsidR="00757998" w:rsidRDefault="00DE0689" w:rsidP="00813B83">
      <w:r>
        <w:rPr>
          <w:b/>
        </w:rPr>
        <w:t>Answer:</w:t>
      </w:r>
      <w:r w:rsidR="005E3ECC">
        <w:t xml:space="preserve"> </w:t>
      </w:r>
      <w:r w:rsidR="00726469">
        <w:t xml:space="preserve">From the PSO standpoint, physicians need data to understand and close gaps in patient care. The PSO will also utilize information for purposes of (including but not limited to) the pre- and post-adjudication of claims and for revenue cycle management purposes. </w:t>
      </w:r>
    </w:p>
    <w:p w:rsidR="00C849F0" w:rsidRDefault="00C849F0" w:rsidP="00813B83"/>
    <w:p w:rsidR="00C849F0" w:rsidRDefault="00C849F0" w:rsidP="00813B83">
      <w:r w:rsidRPr="00C849F0">
        <w:rPr>
          <w:b/>
        </w:rPr>
        <w:t>Emailed Question:</w:t>
      </w:r>
      <w:r>
        <w:t xml:space="preserve"> If the </w:t>
      </w:r>
      <w:r w:rsidR="00726469">
        <w:t>vendor</w:t>
      </w:r>
      <w:r>
        <w:t xml:space="preserve"> has companion products that support future payment models, </w:t>
      </w:r>
      <w:r w:rsidR="00726469">
        <w:t xml:space="preserve">may </w:t>
      </w:r>
      <w:r>
        <w:t>they be included in the</w:t>
      </w:r>
      <w:r w:rsidR="00726469">
        <w:t xml:space="preserve"> RFP </w:t>
      </w:r>
      <w:r>
        <w:t xml:space="preserve">response.  </w:t>
      </w:r>
    </w:p>
    <w:p w:rsidR="00C849F0" w:rsidRPr="00C849F0" w:rsidRDefault="00C849F0" w:rsidP="00813B83">
      <w:r>
        <w:rPr>
          <w:b/>
        </w:rPr>
        <w:t xml:space="preserve">Answer: </w:t>
      </w:r>
      <w:r>
        <w:t xml:space="preserve">Yes, they may be included as an addendum, although </w:t>
      </w:r>
      <w:r w:rsidR="00726469">
        <w:t xml:space="preserve">such detail will be considered solely </w:t>
      </w:r>
      <w:r>
        <w:t xml:space="preserve">informational at this time, but not necessarily part of the overall EHR evaluation.  </w:t>
      </w:r>
    </w:p>
    <w:p w:rsidR="00C849F0" w:rsidRPr="00C849F0" w:rsidRDefault="00C849F0" w:rsidP="00813B83">
      <w:pPr>
        <w:rPr>
          <w:b/>
        </w:rPr>
      </w:pPr>
    </w:p>
    <w:p w:rsidR="00984858" w:rsidRDefault="00984858" w:rsidP="00984858">
      <w:pPr>
        <w:pStyle w:val="NormalWeb"/>
      </w:pPr>
      <w:r>
        <w:rPr>
          <w:b/>
        </w:rPr>
        <w:t xml:space="preserve">Emailed </w:t>
      </w:r>
      <w:r w:rsidRPr="00F348A3">
        <w:rPr>
          <w:b/>
        </w:rPr>
        <w:t>Question</w:t>
      </w:r>
      <w:r>
        <w:rPr>
          <w:b/>
        </w:rPr>
        <w:t xml:space="preserve">:  </w:t>
      </w:r>
      <w:r>
        <w:t>What is the fu</w:t>
      </w:r>
      <w:r w:rsidRPr="00F348A3">
        <w:t xml:space="preserve">ll meaning in this case of “dictation cost” </w:t>
      </w:r>
      <w:r w:rsidR="00726469">
        <w:t>S</w:t>
      </w:r>
      <w:r w:rsidRPr="00F348A3">
        <w:t xml:space="preserve">ection 3.4 </w:t>
      </w:r>
      <w:r w:rsidR="00726469">
        <w:t>Q</w:t>
      </w:r>
      <w:r w:rsidRPr="00F348A3">
        <w:t>uestion #2</w:t>
      </w:r>
      <w:r w:rsidR="00726469">
        <w:t>?</w:t>
      </w:r>
    </w:p>
    <w:p w:rsidR="00984858" w:rsidRPr="00F348A3" w:rsidRDefault="00984858" w:rsidP="00984858">
      <w:r w:rsidRPr="00F348A3">
        <w:rPr>
          <w:b/>
        </w:rPr>
        <w:t>Answer:</w:t>
      </w:r>
      <w:r>
        <w:t xml:space="preserve"> </w:t>
      </w:r>
      <w:r w:rsidRPr="00F348A3">
        <w:t>Section 3.4, Q</w:t>
      </w:r>
      <w:r w:rsidR="00726469">
        <w:t xml:space="preserve">uestion </w:t>
      </w:r>
      <w:r w:rsidRPr="00F348A3">
        <w:t>2 refers to cost</w:t>
      </w:r>
      <w:r>
        <w:t>s</w:t>
      </w:r>
      <w:r w:rsidRPr="00F348A3">
        <w:t xml:space="preserve"> </w:t>
      </w:r>
      <w:r w:rsidR="00726469">
        <w:t xml:space="preserve">that may be </w:t>
      </w:r>
      <w:r w:rsidRPr="00F348A3">
        <w:t>associated with interfacing a third-party dictation system</w:t>
      </w:r>
      <w:r>
        <w:t xml:space="preserve"> which may be required for some EHRs.   </w:t>
      </w:r>
      <w:r w:rsidRPr="00F348A3">
        <w:t xml:space="preserve">   </w:t>
      </w:r>
    </w:p>
    <w:p w:rsidR="00984858" w:rsidRDefault="00984858" w:rsidP="00984858">
      <w:pPr>
        <w:pStyle w:val="NormalWeb"/>
      </w:pPr>
    </w:p>
    <w:p w:rsidR="00984858" w:rsidRPr="00F348A3" w:rsidRDefault="00984858" w:rsidP="00984858">
      <w:pPr>
        <w:pStyle w:val="NormalWeb"/>
      </w:pPr>
      <w:r w:rsidRPr="00F348A3">
        <w:rPr>
          <w:b/>
        </w:rPr>
        <w:t>Emailed Question:</w:t>
      </w:r>
      <w:r>
        <w:t xml:space="preserve">  What is the f</w:t>
      </w:r>
      <w:r w:rsidRPr="00F348A3">
        <w:t>ull mean</w:t>
      </w:r>
      <w:r w:rsidR="00726469">
        <w:t>ing of “referral transactions” S</w:t>
      </w:r>
      <w:r w:rsidRPr="00F348A3">
        <w:t xml:space="preserve">ection 3.6 </w:t>
      </w:r>
      <w:r w:rsidR="00726469">
        <w:t xml:space="preserve">Question </w:t>
      </w:r>
      <w:r w:rsidRPr="00F348A3">
        <w:t>#</w:t>
      </w:r>
      <w:proofErr w:type="gramStart"/>
      <w:r w:rsidRPr="00F348A3">
        <w:t>30</w:t>
      </w:r>
      <w:proofErr w:type="gramEnd"/>
    </w:p>
    <w:p w:rsidR="00984858" w:rsidRPr="00F348A3" w:rsidRDefault="00984858" w:rsidP="00984858">
      <w:r>
        <w:rPr>
          <w:b/>
        </w:rPr>
        <w:t xml:space="preserve">Answer:  </w:t>
      </w:r>
      <w:r w:rsidRPr="00F348A3">
        <w:t>Section 3.6, Q</w:t>
      </w:r>
      <w:r w:rsidR="00726469">
        <w:t xml:space="preserve">uestion </w:t>
      </w:r>
      <w:r w:rsidRPr="00F348A3">
        <w:t xml:space="preserve">30 </w:t>
      </w:r>
      <w:r w:rsidR="00726469">
        <w:t xml:space="preserve">refers to </w:t>
      </w:r>
      <w:r w:rsidRPr="00F348A3">
        <w:t xml:space="preserve">primary care to specialist referral transactions that </w:t>
      </w:r>
      <w:r w:rsidR="00726469">
        <w:t xml:space="preserve">may be </w:t>
      </w:r>
      <w:r w:rsidRPr="00F348A3">
        <w:t xml:space="preserve">handled through EHRs and clearinghouses. </w:t>
      </w:r>
      <w:r w:rsidR="00726469">
        <w:t xml:space="preserve">TMA suggests that if the vendor system does not support </w:t>
      </w:r>
      <w:r w:rsidRPr="00F348A3">
        <w:t xml:space="preserve">real-time transactions, </w:t>
      </w:r>
      <w:r w:rsidR="00726469">
        <w:t xml:space="preserve">to please </w:t>
      </w:r>
      <w:r w:rsidRPr="00F348A3">
        <w:t>describe how referral tracking is supported.  </w:t>
      </w:r>
    </w:p>
    <w:p w:rsidR="00984858" w:rsidRDefault="00984858" w:rsidP="00984858">
      <w:pPr>
        <w:pStyle w:val="NormalWeb"/>
      </w:pPr>
    </w:p>
    <w:p w:rsidR="00984858" w:rsidRPr="00F348A3" w:rsidRDefault="00984858" w:rsidP="00984858">
      <w:pPr>
        <w:pStyle w:val="NormalWeb"/>
      </w:pPr>
      <w:r w:rsidRPr="00F348A3">
        <w:rPr>
          <w:b/>
        </w:rPr>
        <w:t>Emailed Question:</w:t>
      </w:r>
      <w:r>
        <w:t xml:space="preserve"> </w:t>
      </w:r>
      <w:r w:rsidR="00726469">
        <w:t xml:space="preserve">Request to clarify </w:t>
      </w:r>
      <w:r>
        <w:t xml:space="preserve">Section 3.6 </w:t>
      </w:r>
      <w:r w:rsidR="00726469">
        <w:t>Q</w:t>
      </w:r>
      <w:r>
        <w:t>uestion #27.</w:t>
      </w:r>
    </w:p>
    <w:p w:rsidR="00984858" w:rsidRPr="00F348A3" w:rsidRDefault="00984858" w:rsidP="00984858">
      <w:r w:rsidRPr="00F348A3">
        <w:rPr>
          <w:b/>
        </w:rPr>
        <w:t>Answer:</w:t>
      </w:r>
      <w:r>
        <w:t xml:space="preserve"> </w:t>
      </w:r>
      <w:r w:rsidRPr="00F348A3">
        <w:t>Section 3.6, Q</w:t>
      </w:r>
      <w:r w:rsidR="00726469">
        <w:t xml:space="preserve">uestion </w:t>
      </w:r>
      <w:r w:rsidRPr="00F348A3">
        <w:t>27 refers to how t</w:t>
      </w:r>
      <w:r w:rsidR="00726469">
        <w:t xml:space="preserve">he EHR supports case management </w:t>
      </w:r>
      <w:r w:rsidRPr="00F348A3">
        <w:t xml:space="preserve">vital </w:t>
      </w:r>
      <w:r w:rsidR="005A523B">
        <w:t>to</w:t>
      </w:r>
      <w:r w:rsidRPr="00F348A3">
        <w:t xml:space="preserve"> the patient centered medical home (PCMH) and </w:t>
      </w:r>
      <w:r w:rsidR="005A523B">
        <w:t>value based care</w:t>
      </w:r>
      <w:r w:rsidRPr="00F348A3">
        <w:t xml:space="preserve"> models as patients must be </w:t>
      </w:r>
      <w:r w:rsidR="005A523B">
        <w:t xml:space="preserve">ensure that </w:t>
      </w:r>
      <w:r w:rsidRPr="00F348A3">
        <w:t>the full care team remains connected.  </w:t>
      </w:r>
      <w:r w:rsidR="005A523B">
        <w:t xml:space="preserve">For example, a nurse managing the patient across transitions of care. </w:t>
      </w:r>
      <w:r>
        <w:t> </w:t>
      </w:r>
    </w:p>
    <w:p w:rsidR="00C849F0" w:rsidRPr="00C849F0" w:rsidRDefault="00C849F0" w:rsidP="00813B83">
      <w:pPr>
        <w:rPr>
          <w:b/>
        </w:rPr>
      </w:pPr>
      <w:bookmarkStart w:id="0" w:name="_GoBack"/>
      <w:bookmarkEnd w:id="0"/>
    </w:p>
    <w:sectPr w:rsidR="00C849F0" w:rsidRPr="00C849F0" w:rsidSect="004E1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402886"/>
    <w:lvl w:ilvl="0">
      <w:start w:val="1"/>
      <w:numFmt w:val="decimal"/>
      <w:lvlText w:val="%1."/>
      <w:lvlJc w:val="left"/>
      <w:pPr>
        <w:tabs>
          <w:tab w:val="num" w:pos="1800"/>
        </w:tabs>
        <w:ind w:left="1800" w:hanging="360"/>
      </w:pPr>
    </w:lvl>
  </w:abstractNum>
  <w:abstractNum w:abstractNumId="1">
    <w:nsid w:val="FFFFFF7D"/>
    <w:multiLevelType w:val="singleLevel"/>
    <w:tmpl w:val="B30A051E"/>
    <w:lvl w:ilvl="0">
      <w:start w:val="1"/>
      <w:numFmt w:val="decimal"/>
      <w:lvlText w:val="%1."/>
      <w:lvlJc w:val="left"/>
      <w:pPr>
        <w:tabs>
          <w:tab w:val="num" w:pos="1440"/>
        </w:tabs>
        <w:ind w:left="1440" w:hanging="360"/>
      </w:pPr>
    </w:lvl>
  </w:abstractNum>
  <w:abstractNum w:abstractNumId="2">
    <w:nsid w:val="FFFFFF7E"/>
    <w:multiLevelType w:val="singleLevel"/>
    <w:tmpl w:val="0E52BD96"/>
    <w:lvl w:ilvl="0">
      <w:start w:val="1"/>
      <w:numFmt w:val="decimal"/>
      <w:lvlText w:val="%1."/>
      <w:lvlJc w:val="left"/>
      <w:pPr>
        <w:tabs>
          <w:tab w:val="num" w:pos="1080"/>
        </w:tabs>
        <w:ind w:left="1080" w:hanging="360"/>
      </w:pPr>
    </w:lvl>
  </w:abstractNum>
  <w:abstractNum w:abstractNumId="3">
    <w:nsid w:val="FFFFFF7F"/>
    <w:multiLevelType w:val="singleLevel"/>
    <w:tmpl w:val="3B627AF0"/>
    <w:lvl w:ilvl="0">
      <w:start w:val="1"/>
      <w:numFmt w:val="decimal"/>
      <w:lvlText w:val="%1."/>
      <w:lvlJc w:val="left"/>
      <w:pPr>
        <w:tabs>
          <w:tab w:val="num" w:pos="720"/>
        </w:tabs>
        <w:ind w:left="720" w:hanging="360"/>
      </w:pPr>
    </w:lvl>
  </w:abstractNum>
  <w:abstractNum w:abstractNumId="4">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18AF80"/>
    <w:lvl w:ilvl="0">
      <w:start w:val="1"/>
      <w:numFmt w:val="decimal"/>
      <w:lvlText w:val="%1."/>
      <w:lvlJc w:val="left"/>
      <w:pPr>
        <w:tabs>
          <w:tab w:val="num" w:pos="360"/>
        </w:tabs>
        <w:ind w:left="360" w:hanging="360"/>
      </w:pPr>
    </w:lvl>
  </w:abstractNum>
  <w:abstractNum w:abstractNumId="9">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abstractNum w:abstractNumId="10">
    <w:nsid w:val="1FEE1634"/>
    <w:multiLevelType w:val="hybridMultilevel"/>
    <w:tmpl w:val="92C057F6"/>
    <w:lvl w:ilvl="0" w:tplc="DF7C1EA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85ED1"/>
    <w:multiLevelType w:val="hybridMultilevel"/>
    <w:tmpl w:val="7E4E1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F6E95"/>
    <w:multiLevelType w:val="hybridMultilevel"/>
    <w:tmpl w:val="99DC2200"/>
    <w:lvl w:ilvl="0" w:tplc="45F2B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4B2FE4"/>
    <w:multiLevelType w:val="hybridMultilevel"/>
    <w:tmpl w:val="DDE8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3F7C2E"/>
    <w:multiLevelType w:val="hybridMultilevel"/>
    <w:tmpl w:val="6B1A2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C74A05"/>
    <w:multiLevelType w:val="hybridMultilevel"/>
    <w:tmpl w:val="70700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5"/>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A8"/>
    <w:rsid w:val="00017830"/>
    <w:rsid w:val="00021A3A"/>
    <w:rsid w:val="000419F5"/>
    <w:rsid w:val="00090125"/>
    <w:rsid w:val="000F6331"/>
    <w:rsid w:val="00177058"/>
    <w:rsid w:val="00182E9B"/>
    <w:rsid w:val="001C7951"/>
    <w:rsid w:val="001E492F"/>
    <w:rsid w:val="002E71EB"/>
    <w:rsid w:val="00343E7B"/>
    <w:rsid w:val="003B050C"/>
    <w:rsid w:val="004156FC"/>
    <w:rsid w:val="004E1840"/>
    <w:rsid w:val="004F1AE6"/>
    <w:rsid w:val="004F7782"/>
    <w:rsid w:val="005330BB"/>
    <w:rsid w:val="005630AB"/>
    <w:rsid w:val="00592F97"/>
    <w:rsid w:val="005A523B"/>
    <w:rsid w:val="005B47CD"/>
    <w:rsid w:val="005E3ECC"/>
    <w:rsid w:val="006254CD"/>
    <w:rsid w:val="00651C0D"/>
    <w:rsid w:val="006D693F"/>
    <w:rsid w:val="00715E84"/>
    <w:rsid w:val="00726469"/>
    <w:rsid w:val="00757998"/>
    <w:rsid w:val="00766F11"/>
    <w:rsid w:val="007D38F7"/>
    <w:rsid w:val="007D7A59"/>
    <w:rsid w:val="008079B2"/>
    <w:rsid w:val="00813B83"/>
    <w:rsid w:val="008C77E3"/>
    <w:rsid w:val="008D04A8"/>
    <w:rsid w:val="008F6DDA"/>
    <w:rsid w:val="00936C7F"/>
    <w:rsid w:val="009377D0"/>
    <w:rsid w:val="0095709C"/>
    <w:rsid w:val="00984858"/>
    <w:rsid w:val="009B480D"/>
    <w:rsid w:val="00A316EA"/>
    <w:rsid w:val="00A465C0"/>
    <w:rsid w:val="00A9057F"/>
    <w:rsid w:val="00AA2E5C"/>
    <w:rsid w:val="00AB01BF"/>
    <w:rsid w:val="00AE0199"/>
    <w:rsid w:val="00B07454"/>
    <w:rsid w:val="00B63760"/>
    <w:rsid w:val="00B65480"/>
    <w:rsid w:val="00B865F1"/>
    <w:rsid w:val="00C0077A"/>
    <w:rsid w:val="00C53645"/>
    <w:rsid w:val="00C771B4"/>
    <w:rsid w:val="00C77299"/>
    <w:rsid w:val="00C849F0"/>
    <w:rsid w:val="00CB7980"/>
    <w:rsid w:val="00CF5C28"/>
    <w:rsid w:val="00D65657"/>
    <w:rsid w:val="00DD2961"/>
    <w:rsid w:val="00DE0689"/>
    <w:rsid w:val="00E4074F"/>
    <w:rsid w:val="00E9223C"/>
    <w:rsid w:val="00F03805"/>
    <w:rsid w:val="00F10F75"/>
    <w:rsid w:val="00F348A3"/>
    <w:rsid w:val="00F45A48"/>
    <w:rsid w:val="00F55CDF"/>
    <w:rsid w:val="00F72BEB"/>
    <w:rsid w:val="00FA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72D73A-B05B-437D-AC4F-04DB76E7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FC"/>
    <w:rPr>
      <w:sz w:val="24"/>
      <w:szCs w:val="24"/>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szCs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8D04A8"/>
    <w:pPr>
      <w:ind w:left="720"/>
      <w:contextualSpacing/>
    </w:pPr>
  </w:style>
  <w:style w:type="character" w:styleId="Hyperlink">
    <w:name w:val="Hyperlink"/>
    <w:basedOn w:val="DefaultParagraphFont"/>
    <w:rsid w:val="00177058"/>
    <w:rPr>
      <w:color w:val="0000FF" w:themeColor="hyperlink"/>
      <w:u w:val="single"/>
    </w:rPr>
  </w:style>
  <w:style w:type="character" w:styleId="FollowedHyperlink">
    <w:name w:val="FollowedHyperlink"/>
    <w:basedOn w:val="DefaultParagraphFont"/>
    <w:rsid w:val="00F03805"/>
    <w:rPr>
      <w:color w:val="800080" w:themeColor="followedHyperlink"/>
      <w:u w:val="single"/>
    </w:rPr>
  </w:style>
  <w:style w:type="table" w:styleId="TableGrid">
    <w:name w:val="Table Grid"/>
    <w:basedOn w:val="TableNormal"/>
    <w:rsid w:val="004F1A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316EA"/>
  </w:style>
  <w:style w:type="paragraph" w:styleId="BalloonText">
    <w:name w:val="Balloon Text"/>
    <w:basedOn w:val="Normal"/>
    <w:link w:val="BalloonTextChar"/>
    <w:semiHidden/>
    <w:unhideWhenUsed/>
    <w:rsid w:val="007D38F7"/>
    <w:rPr>
      <w:rFonts w:ascii="Segoe UI" w:hAnsi="Segoe UI" w:cs="Segoe UI"/>
      <w:sz w:val="18"/>
      <w:szCs w:val="18"/>
    </w:rPr>
  </w:style>
  <w:style w:type="character" w:customStyle="1" w:styleId="BalloonTextChar">
    <w:name w:val="Balloon Text Char"/>
    <w:basedOn w:val="DefaultParagraphFont"/>
    <w:link w:val="BalloonText"/>
    <w:semiHidden/>
    <w:rsid w:val="007D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6286">
      <w:bodyDiv w:val="1"/>
      <w:marLeft w:val="0"/>
      <w:marRight w:val="0"/>
      <w:marTop w:val="0"/>
      <w:marBottom w:val="0"/>
      <w:divBdr>
        <w:top w:val="none" w:sz="0" w:space="0" w:color="auto"/>
        <w:left w:val="none" w:sz="0" w:space="0" w:color="auto"/>
        <w:bottom w:val="none" w:sz="0" w:space="0" w:color="auto"/>
        <w:right w:val="none" w:sz="0" w:space="0" w:color="auto"/>
      </w:divBdr>
      <w:divsChild>
        <w:div w:id="2054574977">
          <w:marLeft w:val="0"/>
          <w:marRight w:val="0"/>
          <w:marTop w:val="0"/>
          <w:marBottom w:val="0"/>
          <w:divBdr>
            <w:top w:val="none" w:sz="0" w:space="0" w:color="auto"/>
            <w:left w:val="none" w:sz="0" w:space="0" w:color="auto"/>
            <w:bottom w:val="none" w:sz="0" w:space="0" w:color="auto"/>
            <w:right w:val="none" w:sz="0" w:space="0" w:color="auto"/>
          </w:divBdr>
          <w:divsChild>
            <w:div w:id="1032994126">
              <w:marLeft w:val="0"/>
              <w:marRight w:val="0"/>
              <w:marTop w:val="0"/>
              <w:marBottom w:val="0"/>
              <w:divBdr>
                <w:top w:val="none" w:sz="0" w:space="0" w:color="auto"/>
                <w:left w:val="none" w:sz="0" w:space="0" w:color="auto"/>
                <w:bottom w:val="none" w:sz="0" w:space="0" w:color="auto"/>
                <w:right w:val="none" w:sz="0" w:space="0" w:color="auto"/>
              </w:divBdr>
            </w:div>
            <w:div w:id="1625960271">
              <w:marLeft w:val="0"/>
              <w:marRight w:val="0"/>
              <w:marTop w:val="0"/>
              <w:marBottom w:val="0"/>
              <w:divBdr>
                <w:top w:val="none" w:sz="0" w:space="0" w:color="auto"/>
                <w:left w:val="none" w:sz="0" w:space="0" w:color="auto"/>
                <w:bottom w:val="none" w:sz="0" w:space="0" w:color="auto"/>
                <w:right w:val="none" w:sz="0" w:space="0" w:color="auto"/>
              </w:divBdr>
            </w:div>
            <w:div w:id="152765743">
              <w:marLeft w:val="0"/>
              <w:marRight w:val="0"/>
              <w:marTop w:val="0"/>
              <w:marBottom w:val="0"/>
              <w:divBdr>
                <w:top w:val="none" w:sz="0" w:space="0" w:color="auto"/>
                <w:left w:val="none" w:sz="0" w:space="0" w:color="auto"/>
                <w:bottom w:val="none" w:sz="0" w:space="0" w:color="auto"/>
                <w:right w:val="none" w:sz="0" w:space="0" w:color="auto"/>
              </w:divBdr>
            </w:div>
            <w:div w:id="1830369437">
              <w:marLeft w:val="0"/>
              <w:marRight w:val="0"/>
              <w:marTop w:val="0"/>
              <w:marBottom w:val="0"/>
              <w:divBdr>
                <w:top w:val="none" w:sz="0" w:space="0" w:color="auto"/>
                <w:left w:val="none" w:sz="0" w:space="0" w:color="auto"/>
                <w:bottom w:val="none" w:sz="0" w:space="0" w:color="auto"/>
                <w:right w:val="none" w:sz="0" w:space="0" w:color="auto"/>
              </w:divBdr>
            </w:div>
            <w:div w:id="18016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7212">
      <w:bodyDiv w:val="1"/>
      <w:marLeft w:val="0"/>
      <w:marRight w:val="0"/>
      <w:marTop w:val="0"/>
      <w:marBottom w:val="0"/>
      <w:divBdr>
        <w:top w:val="none" w:sz="0" w:space="0" w:color="auto"/>
        <w:left w:val="none" w:sz="0" w:space="0" w:color="auto"/>
        <w:bottom w:val="none" w:sz="0" w:space="0" w:color="auto"/>
        <w:right w:val="none" w:sz="0" w:space="0" w:color="auto"/>
      </w:divBdr>
      <w:divsChild>
        <w:div w:id="1920751828">
          <w:marLeft w:val="0"/>
          <w:marRight w:val="0"/>
          <w:marTop w:val="0"/>
          <w:marBottom w:val="0"/>
          <w:divBdr>
            <w:top w:val="none" w:sz="0" w:space="0" w:color="auto"/>
            <w:left w:val="none" w:sz="0" w:space="0" w:color="auto"/>
            <w:bottom w:val="none" w:sz="0" w:space="0" w:color="auto"/>
            <w:right w:val="none" w:sz="0" w:space="0" w:color="auto"/>
          </w:divBdr>
          <w:divsChild>
            <w:div w:id="1568689833">
              <w:marLeft w:val="0"/>
              <w:marRight w:val="0"/>
              <w:marTop w:val="0"/>
              <w:marBottom w:val="0"/>
              <w:divBdr>
                <w:top w:val="none" w:sz="0" w:space="0" w:color="auto"/>
                <w:left w:val="none" w:sz="0" w:space="0" w:color="auto"/>
                <w:bottom w:val="none" w:sz="0" w:space="0" w:color="auto"/>
                <w:right w:val="none" w:sz="0" w:space="0" w:color="auto"/>
              </w:divBdr>
            </w:div>
            <w:div w:id="1031347476">
              <w:marLeft w:val="0"/>
              <w:marRight w:val="0"/>
              <w:marTop w:val="0"/>
              <w:marBottom w:val="0"/>
              <w:divBdr>
                <w:top w:val="none" w:sz="0" w:space="0" w:color="auto"/>
                <w:left w:val="none" w:sz="0" w:space="0" w:color="auto"/>
                <w:bottom w:val="none" w:sz="0" w:space="0" w:color="auto"/>
                <w:right w:val="none" w:sz="0" w:space="0" w:color="auto"/>
              </w:divBdr>
            </w:div>
            <w:div w:id="133569495">
              <w:marLeft w:val="0"/>
              <w:marRight w:val="0"/>
              <w:marTop w:val="0"/>
              <w:marBottom w:val="0"/>
              <w:divBdr>
                <w:top w:val="none" w:sz="0" w:space="0" w:color="auto"/>
                <w:left w:val="none" w:sz="0" w:space="0" w:color="auto"/>
                <w:bottom w:val="none" w:sz="0" w:space="0" w:color="auto"/>
                <w:right w:val="none" w:sz="0" w:space="0" w:color="auto"/>
              </w:divBdr>
            </w:div>
            <w:div w:id="353774256">
              <w:marLeft w:val="0"/>
              <w:marRight w:val="0"/>
              <w:marTop w:val="0"/>
              <w:marBottom w:val="0"/>
              <w:divBdr>
                <w:top w:val="none" w:sz="0" w:space="0" w:color="auto"/>
                <w:left w:val="none" w:sz="0" w:space="0" w:color="auto"/>
                <w:bottom w:val="none" w:sz="0" w:space="0" w:color="auto"/>
                <w:right w:val="none" w:sz="0" w:space="0" w:color="auto"/>
              </w:divBdr>
            </w:div>
            <w:div w:id="10131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50717">
      <w:bodyDiv w:val="1"/>
      <w:marLeft w:val="0"/>
      <w:marRight w:val="0"/>
      <w:marTop w:val="0"/>
      <w:marBottom w:val="0"/>
      <w:divBdr>
        <w:top w:val="none" w:sz="0" w:space="0" w:color="auto"/>
        <w:left w:val="none" w:sz="0" w:space="0" w:color="auto"/>
        <w:bottom w:val="none" w:sz="0" w:space="0" w:color="auto"/>
        <w:right w:val="none" w:sz="0" w:space="0" w:color="auto"/>
      </w:divBdr>
      <w:divsChild>
        <w:div w:id="1794707944">
          <w:marLeft w:val="0"/>
          <w:marRight w:val="0"/>
          <w:marTop w:val="0"/>
          <w:marBottom w:val="0"/>
          <w:divBdr>
            <w:top w:val="none" w:sz="0" w:space="0" w:color="auto"/>
            <w:left w:val="none" w:sz="0" w:space="0" w:color="auto"/>
            <w:bottom w:val="none" w:sz="0" w:space="0" w:color="auto"/>
            <w:right w:val="none" w:sz="0" w:space="0" w:color="auto"/>
          </w:divBdr>
          <w:divsChild>
            <w:div w:id="9479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346398">
                  <w:marLeft w:val="0"/>
                  <w:marRight w:val="0"/>
                  <w:marTop w:val="0"/>
                  <w:marBottom w:val="0"/>
                  <w:divBdr>
                    <w:top w:val="none" w:sz="0" w:space="0" w:color="auto"/>
                    <w:left w:val="none" w:sz="0" w:space="0" w:color="auto"/>
                    <w:bottom w:val="none" w:sz="0" w:space="0" w:color="auto"/>
                    <w:right w:val="none" w:sz="0" w:space="0" w:color="auto"/>
                  </w:divBdr>
                  <w:divsChild>
                    <w:div w:id="89275238">
                      <w:marLeft w:val="0"/>
                      <w:marRight w:val="0"/>
                      <w:marTop w:val="0"/>
                      <w:marBottom w:val="0"/>
                      <w:divBdr>
                        <w:top w:val="none" w:sz="0" w:space="0" w:color="auto"/>
                        <w:left w:val="none" w:sz="0" w:space="0" w:color="auto"/>
                        <w:bottom w:val="none" w:sz="0" w:space="0" w:color="auto"/>
                        <w:right w:val="none" w:sz="0" w:space="0" w:color="auto"/>
                      </w:divBdr>
                      <w:divsChild>
                        <w:div w:id="721367120">
                          <w:marLeft w:val="0"/>
                          <w:marRight w:val="0"/>
                          <w:marTop w:val="0"/>
                          <w:marBottom w:val="0"/>
                          <w:divBdr>
                            <w:top w:val="none" w:sz="0" w:space="0" w:color="auto"/>
                            <w:left w:val="none" w:sz="0" w:space="0" w:color="auto"/>
                            <w:bottom w:val="none" w:sz="0" w:space="0" w:color="auto"/>
                            <w:right w:val="none" w:sz="0" w:space="0" w:color="auto"/>
                          </w:divBdr>
                          <w:divsChild>
                            <w:div w:id="311523287">
                              <w:marLeft w:val="0"/>
                              <w:marRight w:val="0"/>
                              <w:marTop w:val="0"/>
                              <w:marBottom w:val="0"/>
                              <w:divBdr>
                                <w:top w:val="none" w:sz="0" w:space="0" w:color="auto"/>
                                <w:left w:val="none" w:sz="0" w:space="0" w:color="auto"/>
                                <w:bottom w:val="none" w:sz="0" w:space="0" w:color="auto"/>
                                <w:right w:val="none" w:sz="0" w:space="0" w:color="auto"/>
                              </w:divBdr>
                              <w:divsChild>
                                <w:div w:id="9680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med.org/WorkArea/DownloadAsset.aspx?id=27755" TargetMode="External"/><Relationship Id="rId5" Type="http://schemas.openxmlformats.org/officeDocument/2006/relationships/hyperlink" Target="http://www.texmed.org/WorkArea/linkit.aspx?LinkIdentifier=id&amp;ItemID=25312&amp;libID=229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Andrea Cobb</cp:lastModifiedBy>
  <cp:revision>2</cp:revision>
  <dcterms:created xsi:type="dcterms:W3CDTF">2014-01-31T16:32:00Z</dcterms:created>
  <dcterms:modified xsi:type="dcterms:W3CDTF">2014-01-31T16:32:00Z</dcterms:modified>
</cp:coreProperties>
</file>